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DE0" w:rsidRPr="002A7DE0" w:rsidRDefault="00802948" w:rsidP="002A7DE0">
      <w:pPr>
        <w:spacing w:line="240" w:lineRule="auto"/>
        <w:jc w:val="both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ČOI nahlásila do systému </w:t>
      </w:r>
      <w:r w:rsidR="002A7DE0" w:rsidRPr="002A7DE0">
        <w:rPr>
          <w:b/>
          <w:color w:val="0070C0"/>
          <w:sz w:val="36"/>
          <w:szCs w:val="36"/>
        </w:rPr>
        <w:t>RAPEX</w:t>
      </w:r>
      <w:r>
        <w:rPr>
          <w:b/>
          <w:color w:val="0070C0"/>
          <w:sz w:val="36"/>
          <w:szCs w:val="36"/>
        </w:rPr>
        <w:t xml:space="preserve"> 14 nebezpečných výrobků</w:t>
      </w:r>
      <w:r w:rsidR="002A7DE0" w:rsidRPr="002A7DE0">
        <w:rPr>
          <w:b/>
          <w:color w:val="0070C0"/>
          <w:sz w:val="36"/>
          <w:szCs w:val="36"/>
        </w:rPr>
        <w:t xml:space="preserve"> </w:t>
      </w:r>
    </w:p>
    <w:p w:rsidR="002A7DE0" w:rsidRPr="002A7DE0" w:rsidRDefault="002A7DE0" w:rsidP="002A7DE0">
      <w:pPr>
        <w:spacing w:after="0" w:line="240" w:lineRule="auto"/>
        <w:jc w:val="both"/>
        <w:rPr>
          <w:i/>
          <w:sz w:val="28"/>
          <w:szCs w:val="28"/>
        </w:rPr>
      </w:pPr>
      <w:r w:rsidRPr="002A7DE0">
        <w:rPr>
          <w:i/>
          <w:sz w:val="28"/>
          <w:szCs w:val="28"/>
        </w:rPr>
        <w:t>(Závěrečná zpráva za rok 2014)</w:t>
      </w:r>
    </w:p>
    <w:p w:rsidR="002A7DE0" w:rsidRDefault="002A7DE0" w:rsidP="002A7DE0">
      <w:pPr>
        <w:spacing w:line="240" w:lineRule="auto"/>
        <w:jc w:val="both"/>
        <w:rPr>
          <w:b/>
        </w:rPr>
      </w:pPr>
    </w:p>
    <w:p w:rsidR="002A7DE0" w:rsidRDefault="002A7DE0" w:rsidP="002A7DE0">
      <w:pPr>
        <w:spacing w:after="0" w:line="240" w:lineRule="auto"/>
        <w:jc w:val="both"/>
        <w:rPr>
          <w:b/>
        </w:rPr>
      </w:pPr>
      <w:r w:rsidRPr="002A7DE0">
        <w:rPr>
          <w:b/>
          <w:i/>
        </w:rPr>
        <w:t>(Praha, 16. březen 2015)</w:t>
      </w:r>
      <w:r w:rsidRPr="002A7DE0">
        <w:t xml:space="preserve"> </w:t>
      </w:r>
      <w:r w:rsidRPr="002A7DE0">
        <w:rPr>
          <w:b/>
        </w:rPr>
        <w:t xml:space="preserve">Česká obchodní inspekce nahlásila </w:t>
      </w:r>
      <w:r>
        <w:rPr>
          <w:b/>
        </w:rPr>
        <w:t xml:space="preserve">v roce 2014 </w:t>
      </w:r>
      <w:r w:rsidRPr="002A7DE0">
        <w:rPr>
          <w:b/>
        </w:rPr>
        <w:t>do systému RAPEX celkem 14 notifikací nebezpečných výrobků</w:t>
      </w:r>
      <w:r>
        <w:rPr>
          <w:b/>
        </w:rPr>
        <w:t xml:space="preserve">. </w:t>
      </w:r>
      <w:r w:rsidR="002A0997">
        <w:rPr>
          <w:b/>
        </w:rPr>
        <w:t>Osm</w:t>
      </w:r>
      <w:r w:rsidRPr="002A7DE0">
        <w:rPr>
          <w:b/>
        </w:rPr>
        <w:t xml:space="preserve"> </w:t>
      </w:r>
      <w:r>
        <w:rPr>
          <w:b/>
        </w:rPr>
        <w:t xml:space="preserve">z nich </w:t>
      </w:r>
      <w:r w:rsidRPr="004403B0">
        <w:rPr>
          <w:b/>
        </w:rPr>
        <w:t xml:space="preserve">bylo </w:t>
      </w:r>
      <w:r w:rsidR="004403B0" w:rsidRPr="004403B0">
        <w:rPr>
          <w:b/>
        </w:rPr>
        <w:t xml:space="preserve">zveřejněno v kategorii </w:t>
      </w:r>
      <w:r w:rsidRPr="002A7DE0">
        <w:rPr>
          <w:b/>
          <w:i/>
        </w:rPr>
        <w:t>vážné riziko</w:t>
      </w:r>
      <w:r w:rsidR="004403B0">
        <w:rPr>
          <w:b/>
        </w:rPr>
        <w:t>,</w:t>
      </w:r>
      <w:r w:rsidRPr="002A7DE0">
        <w:rPr>
          <w:b/>
        </w:rPr>
        <w:t xml:space="preserve"> 3 </w:t>
      </w:r>
      <w:r w:rsidR="004403B0">
        <w:rPr>
          <w:b/>
        </w:rPr>
        <w:t xml:space="preserve">výrobky byly </w:t>
      </w:r>
      <w:r w:rsidR="004403B0" w:rsidRPr="002A7DE0">
        <w:rPr>
          <w:b/>
        </w:rPr>
        <w:t>notifik</w:t>
      </w:r>
      <w:r w:rsidR="004403B0">
        <w:rPr>
          <w:b/>
        </w:rPr>
        <w:t xml:space="preserve">ovány v kategorii </w:t>
      </w:r>
      <w:r w:rsidRPr="004403B0">
        <w:rPr>
          <w:b/>
          <w:i/>
        </w:rPr>
        <w:t>jiné než vážné riziko</w:t>
      </w:r>
      <w:r w:rsidRPr="002A7DE0">
        <w:rPr>
          <w:b/>
        </w:rPr>
        <w:t xml:space="preserve">, a </w:t>
      </w:r>
      <w:r w:rsidR="004403B0">
        <w:rPr>
          <w:b/>
        </w:rPr>
        <w:t xml:space="preserve">další </w:t>
      </w:r>
      <w:r w:rsidR="004403B0" w:rsidRPr="002A7DE0">
        <w:rPr>
          <w:b/>
        </w:rPr>
        <w:t>3</w:t>
      </w:r>
      <w:r w:rsidR="004403B0">
        <w:rPr>
          <w:b/>
        </w:rPr>
        <w:t xml:space="preserve"> byly </w:t>
      </w:r>
      <w:r w:rsidRPr="004403B0">
        <w:rPr>
          <w:b/>
          <w:i/>
        </w:rPr>
        <w:t>pro informaci</w:t>
      </w:r>
      <w:r w:rsidRPr="002A7DE0">
        <w:rPr>
          <w:b/>
        </w:rPr>
        <w:t>.</w:t>
      </w:r>
      <w:r w:rsidR="004403B0">
        <w:rPr>
          <w:b/>
        </w:rPr>
        <w:t xml:space="preserve"> </w:t>
      </w:r>
      <w:r w:rsidRPr="002A7DE0">
        <w:rPr>
          <w:b/>
        </w:rPr>
        <w:t xml:space="preserve">České obchodní inspekci </w:t>
      </w:r>
      <w:r w:rsidR="004403B0">
        <w:rPr>
          <w:b/>
        </w:rPr>
        <w:t xml:space="preserve">bylo </w:t>
      </w:r>
      <w:r w:rsidRPr="002A7DE0">
        <w:rPr>
          <w:b/>
        </w:rPr>
        <w:t xml:space="preserve">adresováno kontaktním bodem </w:t>
      </w:r>
      <w:r w:rsidR="004403B0">
        <w:rPr>
          <w:b/>
        </w:rPr>
        <w:t xml:space="preserve">celkem </w:t>
      </w:r>
      <w:r w:rsidRPr="002A7DE0">
        <w:rPr>
          <w:b/>
        </w:rPr>
        <w:t>1525 notifikací</w:t>
      </w:r>
      <w:r w:rsidR="004403B0" w:rsidRPr="004403B0">
        <w:rPr>
          <w:b/>
        </w:rPr>
        <w:t xml:space="preserve"> </w:t>
      </w:r>
      <w:r w:rsidR="004403B0">
        <w:rPr>
          <w:b/>
        </w:rPr>
        <w:t>a naopak</w:t>
      </w:r>
      <w:r w:rsidR="004403B0" w:rsidRPr="004403B0">
        <w:rPr>
          <w:b/>
        </w:rPr>
        <w:t xml:space="preserve"> </w:t>
      </w:r>
      <w:r w:rsidR="004403B0" w:rsidRPr="002A7DE0">
        <w:rPr>
          <w:b/>
        </w:rPr>
        <w:t>kontaktnímu bodu</w:t>
      </w:r>
      <w:r w:rsidR="004403B0">
        <w:rPr>
          <w:b/>
        </w:rPr>
        <w:t xml:space="preserve"> </w:t>
      </w:r>
      <w:r w:rsidR="002A0997">
        <w:rPr>
          <w:b/>
        </w:rPr>
        <w:t xml:space="preserve">ČOI </w:t>
      </w:r>
      <w:r w:rsidRPr="002A7DE0">
        <w:rPr>
          <w:b/>
        </w:rPr>
        <w:t xml:space="preserve">předala 8 oznámení s informací o </w:t>
      </w:r>
      <w:r w:rsidR="004403B0">
        <w:rPr>
          <w:b/>
        </w:rPr>
        <w:t xml:space="preserve">nebezpečných </w:t>
      </w:r>
      <w:proofErr w:type="gramStart"/>
      <w:r w:rsidRPr="002A7DE0">
        <w:rPr>
          <w:b/>
        </w:rPr>
        <w:t>výrobcích</w:t>
      </w:r>
      <w:r w:rsidR="004403B0">
        <w:rPr>
          <w:b/>
        </w:rPr>
        <w:t>,</w:t>
      </w:r>
      <w:r w:rsidRPr="002A7DE0">
        <w:rPr>
          <w:b/>
        </w:rPr>
        <w:t xml:space="preserve"> </w:t>
      </w:r>
      <w:r w:rsidR="004403B0">
        <w:rPr>
          <w:b/>
        </w:rPr>
        <w:t xml:space="preserve"> které</w:t>
      </w:r>
      <w:proofErr w:type="gramEnd"/>
      <w:r w:rsidR="004403B0">
        <w:rPr>
          <w:b/>
        </w:rPr>
        <w:t xml:space="preserve"> byly</w:t>
      </w:r>
      <w:r w:rsidR="004403B0" w:rsidRPr="002A7DE0">
        <w:rPr>
          <w:b/>
        </w:rPr>
        <w:t xml:space="preserve"> </w:t>
      </w:r>
      <w:r w:rsidRPr="002A7DE0">
        <w:rPr>
          <w:b/>
        </w:rPr>
        <w:t>oznámen</w:t>
      </w:r>
      <w:r w:rsidR="004403B0">
        <w:rPr>
          <w:b/>
        </w:rPr>
        <w:t>y</w:t>
      </w:r>
      <w:r w:rsidRPr="002A7DE0">
        <w:rPr>
          <w:b/>
        </w:rPr>
        <w:t xml:space="preserve"> do systému RAPEX jinými členskými státy</w:t>
      </w:r>
      <w:r w:rsidR="00E70C60">
        <w:rPr>
          <w:b/>
        </w:rPr>
        <w:t>.</w:t>
      </w:r>
      <w:r w:rsidRPr="002A7DE0">
        <w:rPr>
          <w:b/>
        </w:rPr>
        <w:t xml:space="preserve"> </w:t>
      </w:r>
      <w:r w:rsidR="004403B0">
        <w:rPr>
          <w:b/>
        </w:rPr>
        <w:t xml:space="preserve">V průběhu roku přijala </w:t>
      </w:r>
      <w:r w:rsidRPr="002A7DE0">
        <w:rPr>
          <w:b/>
        </w:rPr>
        <w:t>České obchodní inspekce</w:t>
      </w:r>
      <w:r w:rsidR="004403B0">
        <w:rPr>
          <w:b/>
        </w:rPr>
        <w:t xml:space="preserve"> také</w:t>
      </w:r>
      <w:r w:rsidRPr="002A7DE0">
        <w:rPr>
          <w:b/>
        </w:rPr>
        <w:t xml:space="preserve"> 15 oznámení</w:t>
      </w:r>
      <w:r>
        <w:rPr>
          <w:b/>
        </w:rPr>
        <w:t xml:space="preserve"> </w:t>
      </w:r>
      <w:r w:rsidR="00777E06">
        <w:rPr>
          <w:b/>
        </w:rPr>
        <w:br/>
      </w:r>
      <w:r>
        <w:rPr>
          <w:b/>
        </w:rPr>
        <w:t>o dobrovolném opatření výrobce.</w:t>
      </w:r>
      <w:r w:rsidR="00E70C60">
        <w:rPr>
          <w:b/>
        </w:rPr>
        <w:t xml:space="preserve"> </w:t>
      </w:r>
    </w:p>
    <w:p w:rsidR="002A7DE0" w:rsidRPr="002A7DE0" w:rsidRDefault="002A7DE0" w:rsidP="002A7DE0">
      <w:pPr>
        <w:spacing w:after="0" w:line="240" w:lineRule="auto"/>
        <w:jc w:val="both"/>
        <w:rPr>
          <w:b/>
        </w:rPr>
      </w:pPr>
    </w:p>
    <w:p w:rsidR="002A7DE0" w:rsidRPr="002A7DE0" w:rsidRDefault="002A7DE0" w:rsidP="002A7DE0">
      <w:pPr>
        <w:spacing w:line="240" w:lineRule="auto"/>
        <w:jc w:val="both"/>
      </w:pPr>
      <w:r w:rsidRPr="002A7DE0">
        <w:t xml:space="preserve">Do </w:t>
      </w:r>
      <w:r>
        <w:t xml:space="preserve">systému </w:t>
      </w:r>
      <w:r w:rsidRPr="002A7DE0">
        <w:t>RAPEX (</w:t>
      </w:r>
      <w:r w:rsidRPr="00E70C60">
        <w:rPr>
          <w:i/>
        </w:rPr>
        <w:t xml:space="preserve">Rapid </w:t>
      </w:r>
      <w:proofErr w:type="spellStart"/>
      <w:r w:rsidRPr="00E70C60">
        <w:rPr>
          <w:i/>
        </w:rPr>
        <w:t>Alert</w:t>
      </w:r>
      <w:proofErr w:type="spellEnd"/>
      <w:r w:rsidRPr="00E70C60">
        <w:rPr>
          <w:i/>
        </w:rPr>
        <w:t xml:space="preserve"> </w:t>
      </w:r>
      <w:proofErr w:type="spellStart"/>
      <w:r w:rsidRPr="00E70C60">
        <w:rPr>
          <w:i/>
        </w:rPr>
        <w:t>System</w:t>
      </w:r>
      <w:proofErr w:type="spellEnd"/>
      <w:r w:rsidRPr="00E70C60">
        <w:rPr>
          <w:i/>
        </w:rPr>
        <w:t xml:space="preserve"> </w:t>
      </w:r>
      <w:proofErr w:type="spellStart"/>
      <w:r w:rsidRPr="00E70C60">
        <w:rPr>
          <w:i/>
        </w:rPr>
        <w:t>for</w:t>
      </w:r>
      <w:proofErr w:type="spellEnd"/>
      <w:r w:rsidRPr="00E70C60">
        <w:rPr>
          <w:i/>
        </w:rPr>
        <w:t xml:space="preserve"> non-food </w:t>
      </w:r>
      <w:proofErr w:type="spellStart"/>
      <w:r w:rsidRPr="00E70C60">
        <w:rPr>
          <w:i/>
        </w:rPr>
        <w:t>dangerous</w:t>
      </w:r>
      <w:proofErr w:type="spellEnd"/>
      <w:r w:rsidRPr="00E70C60">
        <w:rPr>
          <w:i/>
        </w:rPr>
        <w:t xml:space="preserve"> </w:t>
      </w:r>
      <w:proofErr w:type="spellStart"/>
      <w:r w:rsidRPr="00E70C60">
        <w:rPr>
          <w:i/>
        </w:rPr>
        <w:t>products</w:t>
      </w:r>
      <w:proofErr w:type="spellEnd"/>
      <w:r w:rsidRPr="002A7DE0">
        <w:t>, tj. Rychlý výstražný systém pro nebezpečné nepotravinářské výrobky) je Česká obchodní inspekce zapojena od vstupu České republiky do Evropské unie prostřednictvím národního kontaktního bodu pro nepotravinářské výrobky, kterým je Ministerstvo průmyslu a obchodu.</w:t>
      </w:r>
    </w:p>
    <w:p w:rsidR="002A7DE0" w:rsidRPr="002A7DE0" w:rsidRDefault="002A7DE0" w:rsidP="002A7DE0">
      <w:pPr>
        <w:spacing w:line="240" w:lineRule="auto"/>
        <w:jc w:val="both"/>
      </w:pPr>
      <w:r w:rsidRPr="002A7DE0">
        <w:t xml:space="preserve">RAPEX jako evropský systém rychlé výměny informací o nebezpečných nepotravinářských výrobcích byl ustanoven Směrnicí 2001/95/EC Evropského parlamentu a Rady z 3. prosince 2001, o všeobecné bezpečnosti výrobků (dále jen „GPSD“). Účast všech členských států v systému průběžně vyhodnocuje Výbor Evropské komise pro GPSD a zkušenosti z jeho provozu jsou podkladem pro následné změny a úpravy evropské legislativy. </w:t>
      </w:r>
    </w:p>
    <w:p w:rsidR="002A7DE0" w:rsidRDefault="002A7DE0" w:rsidP="002A7DE0">
      <w:pPr>
        <w:spacing w:line="240" w:lineRule="auto"/>
        <w:jc w:val="both"/>
      </w:pPr>
      <w:r w:rsidRPr="002A7DE0">
        <w:t>Trend růstu nahlášených nebezpečných výrobků pokračoval i v roce 2014. Došlo k nepatrnému nárůstu počtu nebezpečných výrobků nahlášených do systému RAPEX všemi zúčastněnými zeměmi (členské státy EU, Nor</w:t>
      </w:r>
      <w:r w:rsidR="00323BE9">
        <w:t xml:space="preserve">sko, Island a Lichtenštejnsko), </w:t>
      </w:r>
      <w:r w:rsidR="00E94178">
        <w:t xml:space="preserve">především </w:t>
      </w:r>
      <w:r w:rsidRPr="002A7DE0">
        <w:t>vzrostl počet notifikací nahlášených podle čl. 12 GPSD</w:t>
      </w:r>
      <w:r w:rsidR="002D63F3">
        <w:t xml:space="preserve">, tj. výrobků, které představují pro uživatele </w:t>
      </w:r>
      <w:r w:rsidR="002D63F3" w:rsidRPr="002D63F3">
        <w:rPr>
          <w:i/>
        </w:rPr>
        <w:t>vážné riziko</w:t>
      </w:r>
      <w:r w:rsidRPr="002A7DE0">
        <w:t xml:space="preserve">.  </w:t>
      </w:r>
    </w:p>
    <w:p w:rsidR="002D63F3" w:rsidRPr="00E70C60" w:rsidRDefault="002D63F3" w:rsidP="002D63F3">
      <w:pPr>
        <w:spacing w:line="240" w:lineRule="auto"/>
        <w:jc w:val="both"/>
      </w:pPr>
      <w:r w:rsidRPr="002A7DE0">
        <w:t xml:space="preserve">Česká obchodní inspekce </w:t>
      </w:r>
      <w:r w:rsidR="002A0997" w:rsidRPr="002A7DE0">
        <w:t xml:space="preserve">nahlásila </w:t>
      </w:r>
      <w:r w:rsidRPr="002A7DE0">
        <w:t xml:space="preserve">do systému RAPEX celkem 14 notifikací nebezpečných výrobků, z toho bylo 8 notifikací podle čl. 12 GPSD, tj. </w:t>
      </w:r>
      <w:r w:rsidRPr="002D63F3">
        <w:rPr>
          <w:i/>
        </w:rPr>
        <w:t>vážné riziko</w:t>
      </w:r>
      <w:r w:rsidRPr="002A7DE0">
        <w:t xml:space="preserve">, 3 notifikace podle čl. 11 GPSD, tj. </w:t>
      </w:r>
      <w:r w:rsidRPr="002D63F3">
        <w:rPr>
          <w:i/>
        </w:rPr>
        <w:t>jiné než vážné riziko</w:t>
      </w:r>
      <w:r w:rsidRPr="002A7DE0">
        <w:t xml:space="preserve">, a 3 notifikace </w:t>
      </w:r>
      <w:r w:rsidRPr="002A0997">
        <w:rPr>
          <w:i/>
        </w:rPr>
        <w:t>pro informaci</w:t>
      </w:r>
      <w:r w:rsidRPr="002A7DE0">
        <w:t xml:space="preserve">. Dále předala kontaktnímu bodu 8 oznámení s reakcí, </w:t>
      </w:r>
      <w:r w:rsidR="00777E06">
        <w:br/>
      </w:r>
      <w:r w:rsidRPr="002A7DE0">
        <w:t xml:space="preserve">tj. informací o nalezených výrobcích oznámených do systému RAPEX jinými členskými státy, a doplňující informace k výrobkům nahlášeným jinými členskými státy. České obchodní inspekce v hodnoceném období přijala 15 oznámení o dobrovolném opatření výrobce (oznámení učiněná </w:t>
      </w:r>
      <w:r w:rsidR="00777E06">
        <w:br/>
      </w:r>
      <w:bookmarkStart w:id="0" w:name="_GoBack"/>
      <w:bookmarkEnd w:id="0"/>
      <w:r w:rsidRPr="002A7DE0">
        <w:t>v souladu s článkem 5.3 GPSD).</w:t>
      </w:r>
    </w:p>
    <w:p w:rsidR="00130557" w:rsidRDefault="00130557" w:rsidP="002A7DE0">
      <w:pPr>
        <w:spacing w:line="240" w:lineRule="auto"/>
        <w:jc w:val="both"/>
      </w:pPr>
    </w:p>
    <w:p w:rsidR="00566716" w:rsidRDefault="00130557" w:rsidP="00130557">
      <w:pPr>
        <w:spacing w:line="240" w:lineRule="auto"/>
        <w:jc w:val="center"/>
      </w:pPr>
      <w:r>
        <w:rPr>
          <w:noProof/>
        </w:rPr>
        <w:lastRenderedPageBreak/>
        <w:drawing>
          <wp:inline distT="0" distB="0" distL="0" distR="0" wp14:anchorId="5A423FC7" wp14:editId="3A95A889">
            <wp:extent cx="4572000" cy="2743200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A0997" w:rsidRDefault="002A0997" w:rsidP="002A7DE0">
      <w:pPr>
        <w:spacing w:line="240" w:lineRule="auto"/>
        <w:jc w:val="both"/>
      </w:pPr>
    </w:p>
    <w:p w:rsidR="00130557" w:rsidRDefault="002A0997" w:rsidP="002A7DE0">
      <w:pPr>
        <w:spacing w:line="240" w:lineRule="auto"/>
        <w:jc w:val="both"/>
      </w:pPr>
      <w:r>
        <w:t>Přehled výrobků, nahlášených  ČOI v průběhu roku 2014 do systému RAPEX:</w:t>
      </w:r>
    </w:p>
    <w:tbl>
      <w:tblPr>
        <w:tblW w:w="907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284"/>
        <w:gridCol w:w="1985"/>
        <w:gridCol w:w="1275"/>
        <w:gridCol w:w="1276"/>
        <w:gridCol w:w="992"/>
      </w:tblGrid>
      <w:tr w:rsidR="00566716" w:rsidRPr="00566716" w:rsidTr="00E94178">
        <w:trPr>
          <w:trHeight w:val="284"/>
        </w:trPr>
        <w:tc>
          <w:tcPr>
            <w:tcW w:w="2258" w:type="dxa"/>
            <w:shd w:val="clear" w:color="auto" w:fill="FF99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6716" w:rsidRPr="00130557" w:rsidRDefault="00566716" w:rsidP="00566716">
            <w:pPr>
              <w:spacing w:after="0" w:line="240" w:lineRule="auto"/>
              <w:rPr>
                <w:rFonts w:ascii="Arial" w:eastAsia="Calibri" w:hAnsi="Arial" w:cs="Arial"/>
                <w:b/>
                <w:i/>
                <w:color w:val="000000"/>
                <w:sz w:val="18"/>
                <w:szCs w:val="18"/>
              </w:rPr>
            </w:pPr>
            <w:r w:rsidRPr="00130557">
              <w:rPr>
                <w:rFonts w:ascii="Arial" w:eastAsia="Calibri" w:hAnsi="Arial" w:cs="Arial"/>
                <w:b/>
                <w:i/>
                <w:color w:val="000000"/>
                <w:sz w:val="18"/>
                <w:szCs w:val="18"/>
              </w:rPr>
              <w:t>Název výrobku</w:t>
            </w:r>
            <w:r w:rsidR="00E70C60">
              <w:rPr>
                <w:rFonts w:ascii="Arial" w:eastAsia="Calibri" w:hAnsi="Arial" w:cs="Arial"/>
                <w:b/>
                <w:i/>
                <w:color w:val="000000"/>
                <w:sz w:val="18"/>
                <w:szCs w:val="18"/>
              </w:rPr>
              <w:t>*</w:t>
            </w:r>
          </w:p>
        </w:tc>
        <w:tc>
          <w:tcPr>
            <w:tcW w:w="1284" w:type="dxa"/>
            <w:shd w:val="clear" w:color="auto" w:fill="FF99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6716" w:rsidRPr="00130557" w:rsidRDefault="00E70C60" w:rsidP="00E70C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color w:val="000000"/>
                <w:sz w:val="18"/>
                <w:szCs w:val="18"/>
              </w:rPr>
              <w:t>d</w:t>
            </w:r>
            <w:r w:rsidR="00130557" w:rsidRPr="00130557">
              <w:rPr>
                <w:rFonts w:ascii="Arial" w:eastAsia="Calibri" w:hAnsi="Arial" w:cs="Arial"/>
                <w:b/>
                <w:i/>
                <w:color w:val="000000"/>
                <w:sz w:val="18"/>
                <w:szCs w:val="18"/>
              </w:rPr>
              <w:t>atum</w:t>
            </w:r>
            <w:r>
              <w:rPr>
                <w:rFonts w:ascii="Arial" w:eastAsia="Calibri" w:hAnsi="Arial" w:cs="Arial"/>
                <w:b/>
                <w:i/>
                <w:color w:val="000000"/>
                <w:sz w:val="18"/>
                <w:szCs w:val="18"/>
              </w:rPr>
              <w:t xml:space="preserve"> hlášení</w:t>
            </w:r>
          </w:p>
        </w:tc>
        <w:tc>
          <w:tcPr>
            <w:tcW w:w="1985" w:type="dxa"/>
            <w:shd w:val="clear" w:color="auto" w:fill="FF99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6716" w:rsidRPr="00130557" w:rsidRDefault="00130557" w:rsidP="00130557">
            <w:pPr>
              <w:spacing w:after="0" w:line="240" w:lineRule="auto"/>
              <w:rPr>
                <w:rFonts w:ascii="Arial" w:eastAsia="Calibri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color w:val="000000"/>
                <w:sz w:val="18"/>
                <w:szCs w:val="18"/>
              </w:rPr>
              <w:t>kategorie</w:t>
            </w:r>
          </w:p>
        </w:tc>
        <w:tc>
          <w:tcPr>
            <w:tcW w:w="1275" w:type="dxa"/>
            <w:shd w:val="clear" w:color="auto" w:fill="FF99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6716" w:rsidRPr="00130557" w:rsidRDefault="00130557" w:rsidP="00130557">
            <w:pPr>
              <w:spacing w:after="0" w:line="240" w:lineRule="auto"/>
              <w:rPr>
                <w:rFonts w:ascii="Arial" w:eastAsia="Calibri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color w:val="000000"/>
                <w:sz w:val="18"/>
                <w:szCs w:val="18"/>
              </w:rPr>
              <w:t>n</w:t>
            </w:r>
            <w:r w:rsidR="00566716" w:rsidRPr="00130557">
              <w:rPr>
                <w:rFonts w:ascii="Arial" w:eastAsia="Calibri" w:hAnsi="Arial" w:cs="Arial"/>
                <w:b/>
                <w:i/>
                <w:color w:val="000000"/>
                <w:sz w:val="18"/>
                <w:szCs w:val="18"/>
              </w:rPr>
              <w:t>otifikace č.</w:t>
            </w:r>
          </w:p>
        </w:tc>
        <w:tc>
          <w:tcPr>
            <w:tcW w:w="1276" w:type="dxa"/>
            <w:shd w:val="clear" w:color="auto" w:fill="FF99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6716" w:rsidRPr="00130557" w:rsidRDefault="00130557" w:rsidP="0013055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z</w:t>
            </w:r>
            <w:r w:rsidR="00566716" w:rsidRPr="0013055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emě pův</w:t>
            </w:r>
            <w:r w:rsidRPr="0013055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odu</w:t>
            </w:r>
          </w:p>
        </w:tc>
        <w:tc>
          <w:tcPr>
            <w:tcW w:w="992" w:type="dxa"/>
            <w:shd w:val="clear" w:color="auto" w:fill="FF99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6716" w:rsidRPr="00130557" w:rsidRDefault="00E70C60" w:rsidP="00E70C60">
            <w:pPr>
              <w:spacing w:after="0" w:line="240" w:lineRule="auto"/>
              <w:rPr>
                <w:rFonts w:ascii="Arial" w:eastAsia="Calibri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color w:val="000000"/>
                <w:sz w:val="18"/>
                <w:szCs w:val="18"/>
              </w:rPr>
              <w:t>r</w:t>
            </w:r>
            <w:r w:rsidR="00566716" w:rsidRPr="00130557">
              <w:rPr>
                <w:rFonts w:ascii="Arial" w:eastAsia="Calibri" w:hAnsi="Arial" w:cs="Arial"/>
                <w:b/>
                <w:i/>
                <w:color w:val="000000"/>
                <w:sz w:val="18"/>
                <w:szCs w:val="18"/>
              </w:rPr>
              <w:t>iziko</w:t>
            </w:r>
          </w:p>
        </w:tc>
      </w:tr>
      <w:tr w:rsidR="00566716" w:rsidRPr="00566716" w:rsidTr="00E94178">
        <w:trPr>
          <w:trHeight w:val="284"/>
        </w:trPr>
        <w:tc>
          <w:tcPr>
            <w:tcW w:w="2258" w:type="dxa"/>
            <w:shd w:val="clear" w:color="auto" w:fill="FF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Páječ</w:t>
            </w:r>
            <w:r w:rsidRPr="0056671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ka</w:t>
            </w:r>
          </w:p>
        </w:tc>
        <w:tc>
          <w:tcPr>
            <w:tcW w:w="1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19.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2.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130557" w:rsidP="0013055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elektrické spotřebiče</w:t>
            </w:r>
            <w:r w:rsidR="00566716"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A12/0348/14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E70C60" w:rsidP="0013055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Čína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323BE9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GPSD</w:t>
            </w:r>
            <w:r w:rsidR="00E9417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566716"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566716" w:rsidRPr="00566716" w:rsidTr="00E94178">
        <w:trPr>
          <w:trHeight w:val="284"/>
        </w:trPr>
        <w:tc>
          <w:tcPr>
            <w:tcW w:w="2258" w:type="dxa"/>
            <w:shd w:val="clear" w:color="auto" w:fill="FF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Dřevěná skládačka</w:t>
            </w:r>
          </w:p>
        </w:tc>
        <w:tc>
          <w:tcPr>
            <w:tcW w:w="1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18.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3.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130557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hračky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Info</w:t>
            </w:r>
            <w:proofErr w:type="spellEnd"/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/0044/14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sz w:val="18"/>
                <w:szCs w:val="18"/>
              </w:rPr>
              <w:t>Čína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INFO</w:t>
            </w:r>
          </w:p>
        </w:tc>
      </w:tr>
      <w:tr w:rsidR="00566716" w:rsidRPr="00566716" w:rsidTr="00E94178">
        <w:trPr>
          <w:trHeight w:val="284"/>
        </w:trPr>
        <w:tc>
          <w:tcPr>
            <w:tcW w:w="2258" w:type="dxa"/>
            <w:shd w:val="clear" w:color="auto" w:fill="FF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Koloběžka Best </w:t>
            </w:r>
            <w:proofErr w:type="spellStart"/>
            <w:r w:rsidRPr="0056671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Scooter</w:t>
            </w:r>
            <w:proofErr w:type="spellEnd"/>
          </w:p>
        </w:tc>
        <w:tc>
          <w:tcPr>
            <w:tcW w:w="1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18.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3.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130557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hračky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Info</w:t>
            </w:r>
            <w:proofErr w:type="spellEnd"/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/0046/14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sz w:val="18"/>
                <w:szCs w:val="18"/>
              </w:rPr>
              <w:t>Čína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INFO</w:t>
            </w:r>
          </w:p>
        </w:tc>
      </w:tr>
      <w:tr w:rsidR="00566716" w:rsidRPr="00566716" w:rsidTr="00E94178">
        <w:trPr>
          <w:trHeight w:val="284"/>
        </w:trPr>
        <w:tc>
          <w:tcPr>
            <w:tcW w:w="2258" w:type="dxa"/>
            <w:shd w:val="clear" w:color="auto" w:fill="FF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Přívěšek na klíče</w:t>
            </w:r>
          </w:p>
        </w:tc>
        <w:tc>
          <w:tcPr>
            <w:tcW w:w="1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2.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4.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130557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hračky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Info</w:t>
            </w:r>
            <w:proofErr w:type="spellEnd"/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/0050/14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sz w:val="18"/>
                <w:szCs w:val="18"/>
              </w:rPr>
              <w:t>?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INFO</w:t>
            </w:r>
          </w:p>
        </w:tc>
      </w:tr>
      <w:tr w:rsidR="00566716" w:rsidRPr="00566716" w:rsidTr="00E94178">
        <w:trPr>
          <w:trHeight w:val="284"/>
        </w:trPr>
        <w:tc>
          <w:tcPr>
            <w:tcW w:w="2258" w:type="dxa"/>
            <w:shd w:val="clear" w:color="auto" w:fill="FF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Svítidlo</w:t>
            </w:r>
          </w:p>
        </w:tc>
        <w:tc>
          <w:tcPr>
            <w:tcW w:w="1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11.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4.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130557" w:rsidP="0013055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elektrické spotřebiče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A12/0620/14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sz w:val="18"/>
                <w:szCs w:val="18"/>
              </w:rPr>
              <w:t>Čína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323BE9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GPSD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566716"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566716" w:rsidRPr="00566716" w:rsidTr="00E94178">
        <w:trPr>
          <w:trHeight w:val="284"/>
        </w:trPr>
        <w:tc>
          <w:tcPr>
            <w:tcW w:w="2258" w:type="dxa"/>
            <w:shd w:val="clear" w:color="auto" w:fill="FF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E94178" w:rsidP="0056671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Č</w:t>
            </w:r>
            <w:r w:rsidR="00566716" w:rsidRPr="0056671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eská soda</w:t>
            </w:r>
          </w:p>
        </w:tc>
        <w:tc>
          <w:tcPr>
            <w:tcW w:w="1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5.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5.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130557" w:rsidP="0013055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kuchyňské potřeby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A12/0694/14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sz w:val="18"/>
                <w:szCs w:val="18"/>
              </w:rPr>
              <w:t>Čína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323BE9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GPSD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566716"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566716" w:rsidRPr="00566716" w:rsidTr="00E94178">
        <w:trPr>
          <w:trHeight w:val="284"/>
        </w:trPr>
        <w:tc>
          <w:tcPr>
            <w:tcW w:w="2258" w:type="dxa"/>
            <w:shd w:val="clear" w:color="auto" w:fill="FF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Píšťalka</w:t>
            </w:r>
          </w:p>
        </w:tc>
        <w:tc>
          <w:tcPr>
            <w:tcW w:w="1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19.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5.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130557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hračky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A12/0765/14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sz w:val="18"/>
                <w:szCs w:val="18"/>
              </w:rPr>
              <w:t>Čína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323BE9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GPSD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566716"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566716" w:rsidRPr="00566716" w:rsidTr="00E94178">
        <w:trPr>
          <w:trHeight w:val="284"/>
        </w:trPr>
        <w:tc>
          <w:tcPr>
            <w:tcW w:w="2258" w:type="dxa"/>
            <w:shd w:val="clear" w:color="auto" w:fill="FF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Lehátko </w:t>
            </w:r>
            <w:proofErr w:type="spellStart"/>
            <w:r w:rsidRPr="0056671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Rubino</w:t>
            </w:r>
            <w:proofErr w:type="spellEnd"/>
            <w:r w:rsidRPr="0056671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 Bianco</w:t>
            </w:r>
          </w:p>
        </w:tc>
        <w:tc>
          <w:tcPr>
            <w:tcW w:w="1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27.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5.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130557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nábytek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A11/0053/14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Itálie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323BE9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GPSD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566716"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566716" w:rsidRPr="00566716" w:rsidTr="00E94178">
        <w:trPr>
          <w:trHeight w:val="284"/>
        </w:trPr>
        <w:tc>
          <w:tcPr>
            <w:tcW w:w="2258" w:type="dxa"/>
            <w:shd w:val="clear" w:color="auto" w:fill="FF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Kempinkový set</w:t>
            </w:r>
          </w:p>
        </w:tc>
        <w:tc>
          <w:tcPr>
            <w:tcW w:w="1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11.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7.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130557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nábytek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sz w:val="18"/>
                <w:szCs w:val="18"/>
              </w:rPr>
              <w:t>A11/0063/14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sz w:val="18"/>
                <w:szCs w:val="18"/>
              </w:rPr>
              <w:t>Čína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323BE9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GPSD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566716"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566716" w:rsidRPr="00566716" w:rsidTr="00E94178">
        <w:trPr>
          <w:trHeight w:val="284"/>
        </w:trPr>
        <w:tc>
          <w:tcPr>
            <w:tcW w:w="2258" w:type="dxa"/>
            <w:shd w:val="clear" w:color="auto" w:fill="FF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Ohrádka Dingo</w:t>
            </w:r>
          </w:p>
        </w:tc>
        <w:tc>
          <w:tcPr>
            <w:tcW w:w="1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10.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10.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130557" w:rsidP="0013055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výrobky pro péči o dítě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A11/0084/14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Polsko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323BE9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GPSD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566716"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566716" w:rsidRPr="00566716" w:rsidTr="00E94178">
        <w:trPr>
          <w:trHeight w:val="284"/>
        </w:trPr>
        <w:tc>
          <w:tcPr>
            <w:tcW w:w="2258" w:type="dxa"/>
            <w:shd w:val="clear" w:color="auto" w:fill="FF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Tahací hračka </w:t>
            </w:r>
            <w:proofErr w:type="spellStart"/>
            <w:r w:rsidRPr="0056671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Funny</w:t>
            </w:r>
            <w:proofErr w:type="spellEnd"/>
          </w:p>
        </w:tc>
        <w:tc>
          <w:tcPr>
            <w:tcW w:w="1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16.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10.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130557" w:rsidP="0013055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hračky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A12/1703/14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sz w:val="18"/>
                <w:szCs w:val="18"/>
              </w:rPr>
              <w:t>Čína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323BE9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GPSD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566716"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566716" w:rsidRPr="00566716" w:rsidTr="00E94178">
        <w:trPr>
          <w:trHeight w:val="284"/>
        </w:trPr>
        <w:tc>
          <w:tcPr>
            <w:tcW w:w="2258" w:type="dxa"/>
            <w:shd w:val="clear" w:color="auto" w:fill="FF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Vysoká židle Anežka</w:t>
            </w:r>
          </w:p>
        </w:tc>
        <w:tc>
          <w:tcPr>
            <w:tcW w:w="1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14.</w:t>
            </w:r>
            <w:r w:rsidR="00130557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11.</w:t>
            </w:r>
            <w:r w:rsidR="00130557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130557" w:rsidP="0013055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výrobky pro péči o dítě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A12/1889/14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Polsko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323BE9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GPSD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566716"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566716" w:rsidRPr="00566716" w:rsidTr="00E94178">
        <w:trPr>
          <w:trHeight w:val="284"/>
        </w:trPr>
        <w:tc>
          <w:tcPr>
            <w:tcW w:w="2258" w:type="dxa"/>
            <w:shd w:val="clear" w:color="auto" w:fill="FF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Gelová svíčka</w:t>
            </w:r>
          </w:p>
        </w:tc>
        <w:tc>
          <w:tcPr>
            <w:tcW w:w="1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18.</w:t>
            </w:r>
            <w:r w:rsidR="00130557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11.</w:t>
            </w:r>
            <w:r w:rsidR="00130557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130557" w:rsidP="0013055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dekorativní předměty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A12/1882/14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Čína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323BE9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GPSD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566716"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566716" w:rsidRPr="00566716" w:rsidTr="00E94178">
        <w:trPr>
          <w:trHeight w:val="284"/>
        </w:trPr>
        <w:tc>
          <w:tcPr>
            <w:tcW w:w="2258" w:type="dxa"/>
            <w:shd w:val="clear" w:color="auto" w:fill="FF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Hudební set My New Band</w:t>
            </w:r>
          </w:p>
        </w:tc>
        <w:tc>
          <w:tcPr>
            <w:tcW w:w="1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26.</w:t>
            </w:r>
            <w:r w:rsidR="00130557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11.</w:t>
            </w:r>
            <w:r w:rsidR="00130557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130557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hračky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A12/1940/14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566716" w:rsidP="005667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Čína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6716" w:rsidRPr="00566716" w:rsidRDefault="00323BE9" w:rsidP="0013055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GPSD</w:t>
            </w:r>
            <w:r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566716" w:rsidRPr="00566716">
              <w:rPr>
                <w:rFonts w:ascii="Arial" w:eastAsia="Calibri" w:hAnsi="Arial" w:cs="Arial"/>
                <w:color w:val="000000"/>
                <w:sz w:val="18"/>
                <w:szCs w:val="18"/>
              </w:rPr>
              <w:t>12</w:t>
            </w:r>
          </w:p>
        </w:tc>
      </w:tr>
    </w:tbl>
    <w:p w:rsidR="002A7DE0" w:rsidRPr="00E70C60" w:rsidRDefault="00E70C60" w:rsidP="002A7DE0">
      <w:pPr>
        <w:spacing w:after="0" w:line="240" w:lineRule="auto"/>
        <w:jc w:val="both"/>
        <w:rPr>
          <w:i/>
          <w:sz w:val="20"/>
          <w:szCs w:val="20"/>
        </w:rPr>
      </w:pPr>
      <w:r w:rsidRPr="00E70C60">
        <w:rPr>
          <w:i/>
          <w:sz w:val="20"/>
          <w:szCs w:val="20"/>
        </w:rPr>
        <w:t>*) Informace o jednotlivých výrobcích, zejména důvod</w:t>
      </w:r>
      <w:r>
        <w:rPr>
          <w:i/>
          <w:sz w:val="20"/>
          <w:szCs w:val="20"/>
        </w:rPr>
        <w:t xml:space="preserve"> jejich</w:t>
      </w:r>
      <w:r w:rsidRPr="00E70C60">
        <w:rPr>
          <w:i/>
          <w:sz w:val="20"/>
          <w:szCs w:val="20"/>
        </w:rPr>
        <w:t xml:space="preserve"> nebez</w:t>
      </w:r>
      <w:r>
        <w:rPr>
          <w:i/>
          <w:sz w:val="20"/>
          <w:szCs w:val="20"/>
        </w:rPr>
        <w:t>p</w:t>
      </w:r>
      <w:r w:rsidRPr="00E70C60">
        <w:rPr>
          <w:i/>
          <w:sz w:val="20"/>
          <w:szCs w:val="20"/>
        </w:rPr>
        <w:t>ečnosti</w:t>
      </w:r>
      <w:r>
        <w:rPr>
          <w:i/>
          <w:sz w:val="20"/>
          <w:szCs w:val="20"/>
        </w:rPr>
        <w:t>,</w:t>
      </w:r>
      <w:r w:rsidRPr="00E70C60">
        <w:rPr>
          <w:i/>
          <w:sz w:val="20"/>
          <w:szCs w:val="20"/>
        </w:rPr>
        <w:t xml:space="preserve"> jsou k dispozici na webu ČOI</w:t>
      </w:r>
    </w:p>
    <w:p w:rsidR="00E70C60" w:rsidRPr="00E70C60" w:rsidRDefault="00E70C60" w:rsidP="002A7DE0">
      <w:pPr>
        <w:spacing w:after="0" w:line="240" w:lineRule="auto"/>
        <w:jc w:val="both"/>
        <w:rPr>
          <w:i/>
          <w:sz w:val="20"/>
          <w:szCs w:val="20"/>
        </w:rPr>
      </w:pPr>
    </w:p>
    <w:p w:rsidR="00E70C60" w:rsidRDefault="00E70C60" w:rsidP="002A7DE0">
      <w:pPr>
        <w:spacing w:after="0" w:line="240" w:lineRule="auto"/>
        <w:jc w:val="both"/>
      </w:pPr>
    </w:p>
    <w:p w:rsidR="00E70C60" w:rsidRPr="002A7DE0" w:rsidRDefault="00E70C60" w:rsidP="002A7DE0">
      <w:pPr>
        <w:spacing w:after="0" w:line="240" w:lineRule="auto"/>
        <w:jc w:val="both"/>
      </w:pPr>
    </w:p>
    <w:p w:rsidR="002A7DE0" w:rsidRPr="001A2AE6" w:rsidRDefault="002A7DE0" w:rsidP="002A7D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635E11DC" wp14:editId="2AE01BC2">
            <wp:extent cx="5760720" cy="3876675"/>
            <wp:effectExtent l="0" t="0" r="11430" b="9525"/>
            <wp:docPr id="103" name="Graf 10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A7DE0" w:rsidRDefault="002A7DE0" w:rsidP="002A7DE0">
      <w:pPr>
        <w:spacing w:line="240" w:lineRule="auto"/>
      </w:pPr>
    </w:p>
    <w:p w:rsidR="002A7DE0" w:rsidRPr="00E70C60" w:rsidRDefault="002A7DE0" w:rsidP="00E70C60">
      <w:pPr>
        <w:spacing w:line="240" w:lineRule="auto"/>
        <w:jc w:val="both"/>
      </w:pPr>
      <w:r w:rsidRPr="002A7DE0">
        <w:t xml:space="preserve">Evropská komise notifikovala celkem 2440 nebezpečných výrobků, z toho 2174 podle čl. 12 GPSD (vážné riziko). Česká obchodní inspekce podrobila inspekční činnosti všechny vydané notifikace, které se týkaly oblastí trhu, kde má zákonem stanovenou dozorovou pravomoc. Z počtu 2174 notifikací podle čl. 12 GPSD bylo České obchodní inspekci adresováno kontaktním bodem 1525 notifikací. Notifikace, které z různých důvodů nesplňovaly všechna kritéria pro zveřejnění podle čl. 12 GPSD, byly zveřejněny v kategorii podle čl. 11 GPSD </w:t>
      </w:r>
      <w:r w:rsidR="002D63F3">
        <w:t xml:space="preserve">– tj. </w:t>
      </w:r>
      <w:r w:rsidRPr="002D63F3">
        <w:rPr>
          <w:i/>
        </w:rPr>
        <w:t>jiné než vážné riziko</w:t>
      </w:r>
      <w:r w:rsidRPr="002A7DE0">
        <w:t xml:space="preserve"> nebo INFO </w:t>
      </w:r>
      <w:r w:rsidR="002D63F3">
        <w:t xml:space="preserve">– </w:t>
      </w:r>
      <w:r w:rsidRPr="002D63F3">
        <w:rPr>
          <w:i/>
        </w:rPr>
        <w:t>pro informaci</w:t>
      </w:r>
      <w:r w:rsidRPr="002A7DE0">
        <w:t xml:space="preserve">. </w:t>
      </w:r>
    </w:p>
    <w:p w:rsidR="002A7DE0" w:rsidRDefault="002A7DE0" w:rsidP="002A7D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aps/>
          <w:sz w:val="24"/>
          <w:szCs w:val="24"/>
        </w:rPr>
      </w:pPr>
    </w:p>
    <w:p w:rsidR="002A7DE0" w:rsidRPr="00916902" w:rsidRDefault="002A7DE0" w:rsidP="002A7D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aps/>
          <w:sz w:val="24"/>
          <w:szCs w:val="24"/>
        </w:rPr>
      </w:pPr>
    </w:p>
    <w:p w:rsidR="002A7DE0" w:rsidRDefault="002A7DE0" w:rsidP="002A7DE0">
      <w:pPr>
        <w:jc w:val="center"/>
      </w:pPr>
      <w:r>
        <w:rPr>
          <w:noProof/>
        </w:rPr>
        <w:drawing>
          <wp:inline distT="0" distB="0" distL="0" distR="0" wp14:anchorId="46ABCBE1" wp14:editId="47B954C6">
            <wp:extent cx="4572000" cy="2743200"/>
            <wp:effectExtent l="0" t="0" r="0" b="0"/>
            <wp:docPr id="102" name="Graf 10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228FB" w:rsidRDefault="00A228FB"/>
    <w:sectPr w:rsidR="00A228FB" w:rsidSect="00746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E0"/>
    <w:rsid w:val="00130557"/>
    <w:rsid w:val="002A0997"/>
    <w:rsid w:val="002A7DE0"/>
    <w:rsid w:val="002D63F3"/>
    <w:rsid w:val="00323BE9"/>
    <w:rsid w:val="004403B0"/>
    <w:rsid w:val="00566716"/>
    <w:rsid w:val="00777E06"/>
    <w:rsid w:val="00802948"/>
    <w:rsid w:val="0099110F"/>
    <w:rsid w:val="009F7911"/>
    <w:rsid w:val="00A228FB"/>
    <w:rsid w:val="00E70C60"/>
    <w:rsid w:val="00E94178"/>
    <w:rsid w:val="00F2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E22C5-21F2-4402-A382-5F8E25C1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7DE0"/>
    <w:pPr>
      <w:spacing w:after="200" w:line="276" w:lineRule="auto"/>
    </w:pPr>
    <w:rPr>
      <w:rFonts w:ascii="Calibri" w:eastAsia="Times New Roman" w:hAnsi="Calibri" w:cs="Calibri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A7D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2A7DE0"/>
    <w:rPr>
      <w:rFonts w:asciiTheme="majorHAnsi" w:eastAsiaTheme="majorEastAsia" w:hAnsiTheme="majorHAnsi" w:cstheme="majorBidi"/>
      <w:color w:val="2E74B5" w:themeColor="accent1" w:themeShade="B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6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List_aplikace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List_aplikace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r>
              <a:rPr lang="cs-CZ" sz="1200" b="1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rPr>
              <a:t>Kategorie výrobků notifikovaných ČOI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čl.12 GPSD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List1!$A$2:$A$7</c:f>
              <c:strCache>
                <c:ptCount val="6"/>
                <c:pt idx="0">
                  <c:v>Hračky</c:v>
                </c:pt>
                <c:pt idx="1">
                  <c:v>Dekorace</c:v>
                </c:pt>
                <c:pt idx="2">
                  <c:v>El. spotřebiče</c:v>
                </c:pt>
                <c:pt idx="3">
                  <c:v>Kuchyň. potřeby</c:v>
                </c:pt>
                <c:pt idx="4">
                  <c:v>Nábytek</c:v>
                </c:pt>
                <c:pt idx="5">
                  <c:v>Péče o děti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čl.11 GPSD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List1!$A$2:$A$7</c:f>
              <c:strCache>
                <c:ptCount val="6"/>
                <c:pt idx="0">
                  <c:v>Hračky</c:v>
                </c:pt>
                <c:pt idx="1">
                  <c:v>Dekorace</c:v>
                </c:pt>
                <c:pt idx="2">
                  <c:v>El. spotřebiče</c:v>
                </c:pt>
                <c:pt idx="3">
                  <c:v>Kuchyň. potřeby</c:v>
                </c:pt>
                <c:pt idx="4">
                  <c:v>Nábytek</c:v>
                </c:pt>
                <c:pt idx="5">
                  <c:v>Péče o děti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4">
                  <c:v>2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Info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List1!$A$2:$A$7</c:f>
              <c:strCache>
                <c:ptCount val="6"/>
                <c:pt idx="0">
                  <c:v>Hračky</c:v>
                </c:pt>
                <c:pt idx="1">
                  <c:v>Dekorace</c:v>
                </c:pt>
                <c:pt idx="2">
                  <c:v>El. spotřebiče</c:v>
                </c:pt>
                <c:pt idx="3">
                  <c:v>Kuchyň. potřeby</c:v>
                </c:pt>
                <c:pt idx="4">
                  <c:v>Nábytek</c:v>
                </c:pt>
                <c:pt idx="5">
                  <c:v>Péče o děti</c:v>
                </c:pt>
              </c:strCache>
            </c:strRef>
          </c:cat>
          <c:val>
            <c:numRef>
              <c:f>List1!$D$2:$D$7</c:f>
              <c:numCache>
                <c:formatCode>General</c:formatCode>
                <c:ptCount val="6"/>
                <c:pt idx="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10759816"/>
        <c:axId val="510760208"/>
      </c:barChart>
      <c:catAx>
        <c:axId val="510759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0760208"/>
        <c:crosses val="autoZero"/>
        <c:auto val="1"/>
        <c:lblAlgn val="ctr"/>
        <c:lblOffset val="100"/>
        <c:noMultiLvlLbl val="0"/>
      </c:catAx>
      <c:valAx>
        <c:axId val="510760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Počet výrobků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0759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r>
              <a:rPr lang="cs-CZ" sz="1200" b="1">
                <a:solidFill>
                  <a:sysClr val="windowText" lastClr="000000"/>
                </a:solidFill>
                <a:latin typeface="+mn-lt"/>
              </a:rPr>
              <a:t>Meziroční srovnání počtu nahlášených nebezpečných výrobků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7.4180268406750904E-2"/>
          <c:y val="0.19488305188483121"/>
          <c:w val="0.86146401078857748"/>
          <c:h val="0.54700108206382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č.12 GPSD + č.11 GPSD + Info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6.55952771400459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0337955948942983E-17"/>
                  <c:y val="-2.6238110856018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1.31190554280091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List1!$A$2:$A$7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</c:numCache>
            </c:numRef>
          </c:cat>
          <c:val>
            <c:numRef>
              <c:f>List1!$B$2:$B$7</c:f>
              <c:numCache>
                <c:formatCode>General</c:formatCode>
                <c:ptCount val="6"/>
                <c:pt idx="0">
                  <c:v>2011</c:v>
                </c:pt>
                <c:pt idx="1">
                  <c:v>2272</c:v>
                </c:pt>
                <c:pt idx="2">
                  <c:v>1819</c:v>
                </c:pt>
                <c:pt idx="3">
                  <c:v>2303</c:v>
                </c:pt>
                <c:pt idx="4">
                  <c:v>2416</c:v>
                </c:pt>
                <c:pt idx="5">
                  <c:v>2440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č.12 GPSD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14636283961435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955302366345312E-2"/>
                  <c:y val="3.00641547188402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146362839614373E-2"/>
                  <c:y val="-6.01283094376805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146362839614293E-2"/>
                  <c:y val="9.83903332188428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146362839614293E-2"/>
                  <c:y val="-3.00641547188402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752848378615233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List1!$A$2:$A$7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</c:numCache>
            </c:numRef>
          </c:cat>
          <c:val>
            <c:numRef>
              <c:f>List1!$C$2:$C$7</c:f>
              <c:numCache>
                <c:formatCode>General</c:formatCode>
                <c:ptCount val="6"/>
                <c:pt idx="0">
                  <c:v>1714</c:v>
                </c:pt>
                <c:pt idx="1">
                  <c:v>1985</c:v>
                </c:pt>
                <c:pt idx="2">
                  <c:v>1568</c:v>
                </c:pt>
                <c:pt idx="3">
                  <c:v>1960</c:v>
                </c:pt>
                <c:pt idx="4">
                  <c:v>2019</c:v>
                </c:pt>
                <c:pt idx="5">
                  <c:v>2174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pro ČOI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1.0955302366345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5337423312883436E-2"/>
                  <c:y val="-3.27976385700229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75284837861524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List1!$A$2:$A$7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</c:numCache>
            </c:numRef>
          </c:cat>
          <c:val>
            <c:numRef>
              <c:f>List1!$D$2:$D$7</c:f>
              <c:numCache>
                <c:formatCode>General</c:formatCode>
                <c:ptCount val="6"/>
                <c:pt idx="3">
                  <c:v>1501</c:v>
                </c:pt>
                <c:pt idx="4">
                  <c:v>1468</c:v>
                </c:pt>
                <c:pt idx="5">
                  <c:v>1525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0760992"/>
        <c:axId val="411538800"/>
      </c:barChart>
      <c:catAx>
        <c:axId val="5107609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Rok</a:t>
                </a:r>
              </a:p>
            </c:rich>
          </c:tx>
          <c:layout>
            <c:manualLayout>
              <c:xMode val="edge"/>
              <c:yMode val="edge"/>
              <c:x val="0.9389393704926472"/>
              <c:y val="0.7650552782246922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11538800"/>
        <c:crosses val="autoZero"/>
        <c:auto val="1"/>
        <c:lblAlgn val="ctr"/>
        <c:lblOffset val="100"/>
        <c:noMultiLvlLbl val="0"/>
      </c:catAx>
      <c:valAx>
        <c:axId val="411538800"/>
        <c:scaling>
          <c:orientation val="minMax"/>
          <c:max val="2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>
                    <a:solidFill>
                      <a:sysClr val="windowText" lastClr="000000"/>
                    </a:solidFill>
                  </a:rPr>
                  <a:t>Počet</a:t>
                </a:r>
              </a:p>
            </c:rich>
          </c:tx>
          <c:layout>
            <c:manualLayout>
              <c:xMode val="edge"/>
              <c:yMode val="edge"/>
              <c:x val="1.0954957317451882E-2"/>
              <c:y val="0.1213755139014702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0760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200" b="1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rPr>
              <a:t>RAPEX -</a:t>
            </a:r>
            <a:r>
              <a:rPr lang="cs-CZ" sz="1200" b="1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rPr>
              <a:t> j</a:t>
            </a:r>
            <a:r>
              <a:rPr lang="cs-CZ" sz="1200" b="1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rPr>
              <a:t>ednotlivé</a:t>
            </a:r>
            <a:r>
              <a:rPr lang="cs-CZ" sz="1200" b="1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rPr>
              <a:t>  kategorie notifikovaných výrobků za rok 2014 spadajících do působnosti ČOI</a:t>
            </a:r>
            <a:endParaRPr lang="cs-CZ" sz="1200" b="1">
              <a:solidFill>
                <a:sysClr val="windowText" lastClr="000000"/>
              </a:solidFill>
              <a:latin typeface="+mn-lt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15567344706911637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Kategotie výrobků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List1!$A$2:$A$25</c:f>
              <c:strCache>
                <c:ptCount val="24"/>
                <c:pt idx="0">
                  <c:v>Oděvy</c:v>
                </c:pt>
                <c:pt idx="1">
                  <c:v>Hračky</c:v>
                </c:pt>
                <c:pt idx="2">
                  <c:v>El. spotřebiče</c:v>
                </c:pt>
                <c:pt idx="3">
                  <c:v>Svítidla</c:v>
                </c:pt>
                <c:pt idx="4">
                  <c:v>Péče o děti</c:v>
                </c:pt>
                <c:pt idx="5">
                  <c:v>Chemikálie</c:v>
                </c:pt>
                <c:pt idx="6">
                  <c:v>Ostatní</c:v>
                </c:pt>
                <c:pt idx="7">
                  <c:v>Och. pomůcky</c:v>
                </c:pt>
                <c:pt idx="8">
                  <c:v>Sport/hobby</c:v>
                </c:pt>
                <c:pt idx="9">
                  <c:v>Šperky</c:v>
                </c:pt>
                <c:pt idx="10">
                  <c:v>Zapalovače</c:v>
                </c:pt>
                <c:pt idx="11">
                  <c:v>Strojní zařízení</c:v>
                </c:pt>
                <c:pt idx="12">
                  <c:v>Světelné řetězy</c:v>
                </c:pt>
                <c:pt idx="13">
                  <c:v>Stavební</c:v>
                </c:pt>
                <c:pt idx="14">
                  <c:v>Lasery</c:v>
                </c:pt>
                <c:pt idx="15">
                  <c:v>Plyn.spotřebiče</c:v>
                </c:pt>
                <c:pt idx="16">
                  <c:v>Dekorace</c:v>
                </c:pt>
                <c:pt idx="17">
                  <c:v>Kuchyň. potřeb.</c:v>
                </c:pt>
                <c:pt idx="18">
                  <c:v>Napod. potravin</c:v>
                </c:pt>
                <c:pt idx="19">
                  <c:v>Komunikace</c:v>
                </c:pt>
                <c:pt idx="20">
                  <c:v>Nábytek</c:v>
                </c:pt>
                <c:pt idx="21">
                  <c:v>Kancelář. potř</c:v>
                </c:pt>
                <c:pt idx="22">
                  <c:v>Rekrea. plavidla</c:v>
                </c:pt>
                <c:pt idx="23">
                  <c:v>Kosmetika</c:v>
                </c:pt>
              </c:strCache>
            </c:strRef>
          </c:cat>
          <c:val>
            <c:numRef>
              <c:f>List1!$B$2:$B$25</c:f>
              <c:numCache>
                <c:formatCode>General</c:formatCode>
                <c:ptCount val="24"/>
                <c:pt idx="0">
                  <c:v>502</c:v>
                </c:pt>
                <c:pt idx="1">
                  <c:v>348</c:v>
                </c:pt>
                <c:pt idx="2">
                  <c:v>190</c:v>
                </c:pt>
                <c:pt idx="3">
                  <c:v>62</c:v>
                </c:pt>
                <c:pt idx="4">
                  <c:v>55</c:v>
                </c:pt>
                <c:pt idx="5">
                  <c:v>47</c:v>
                </c:pt>
                <c:pt idx="6">
                  <c:v>39</c:v>
                </c:pt>
                <c:pt idx="7">
                  <c:v>36</c:v>
                </c:pt>
                <c:pt idx="8">
                  <c:v>34</c:v>
                </c:pt>
                <c:pt idx="9">
                  <c:v>28</c:v>
                </c:pt>
                <c:pt idx="10">
                  <c:v>27</c:v>
                </c:pt>
                <c:pt idx="11">
                  <c:v>26</c:v>
                </c:pt>
                <c:pt idx="12">
                  <c:v>20</c:v>
                </c:pt>
                <c:pt idx="13">
                  <c:v>18</c:v>
                </c:pt>
                <c:pt idx="14">
                  <c:v>16</c:v>
                </c:pt>
                <c:pt idx="15">
                  <c:v>16</c:v>
                </c:pt>
                <c:pt idx="16">
                  <c:v>15</c:v>
                </c:pt>
                <c:pt idx="17">
                  <c:v>13</c:v>
                </c:pt>
                <c:pt idx="18">
                  <c:v>10</c:v>
                </c:pt>
                <c:pt idx="19">
                  <c:v>10</c:v>
                </c:pt>
                <c:pt idx="20">
                  <c:v>9</c:v>
                </c:pt>
                <c:pt idx="21">
                  <c:v>6</c:v>
                </c:pt>
                <c:pt idx="22">
                  <c:v>5</c:v>
                </c:pt>
                <c:pt idx="2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1540368"/>
        <c:axId val="380155144"/>
      </c:barChart>
      <c:catAx>
        <c:axId val="41154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380155144"/>
        <c:crosses val="autoZero"/>
        <c:auto val="1"/>
        <c:lblAlgn val="ctr"/>
        <c:lblOffset val="100"/>
        <c:noMultiLvlLbl val="0"/>
      </c:catAx>
      <c:valAx>
        <c:axId val="380155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Počet výrobků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11540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Fléglová Miloslava, Mgr.</dc:creator>
  <cp:keywords/>
  <dc:description/>
  <cp:lastModifiedBy>Divišová Ivana, Mgr.</cp:lastModifiedBy>
  <cp:revision>3</cp:revision>
  <cp:lastPrinted>2015-03-16T09:09:00Z</cp:lastPrinted>
  <dcterms:created xsi:type="dcterms:W3CDTF">2015-03-16T09:33:00Z</dcterms:created>
  <dcterms:modified xsi:type="dcterms:W3CDTF">2015-03-16T09:34:00Z</dcterms:modified>
</cp:coreProperties>
</file>