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69A" w:rsidRPr="00F32C79" w:rsidRDefault="002F169A" w:rsidP="00C43BC5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TISKOVÁ ZPRÁVA</w:t>
      </w:r>
    </w:p>
    <w:p w:rsidR="002F169A" w:rsidRPr="00F32C79" w:rsidRDefault="002F169A" w:rsidP="00C43BC5">
      <w:pPr>
        <w:contextualSpacing/>
        <w:jc w:val="both"/>
        <w:rPr>
          <w:i/>
          <w:sz w:val="24"/>
        </w:rPr>
      </w:pPr>
      <w:r w:rsidRPr="00F32C79">
        <w:rPr>
          <w:i/>
          <w:sz w:val="24"/>
        </w:rPr>
        <w:t>EVR</w:t>
      </w:r>
      <w:r>
        <w:rPr>
          <w:i/>
          <w:sz w:val="24"/>
        </w:rPr>
        <w:t>O</w:t>
      </w:r>
      <w:r w:rsidRPr="00F32C79">
        <w:rPr>
          <w:i/>
          <w:sz w:val="24"/>
        </w:rPr>
        <w:t>PSKÉHO SPOTŘEBITELSKÉHO CENTRA</w:t>
      </w:r>
    </w:p>
    <w:p w:rsidR="002F169A" w:rsidRDefault="002F169A" w:rsidP="00C43BC5">
      <w:pPr>
        <w:jc w:val="both"/>
        <w:rPr>
          <w:b/>
          <w:sz w:val="32"/>
        </w:rPr>
      </w:pPr>
      <w:r w:rsidRPr="00F32C79">
        <w:rPr>
          <w:b/>
          <w:i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51945C4" wp14:editId="0596378A">
            <wp:simplePos x="0" y="0"/>
            <wp:positionH relativeFrom="column">
              <wp:posOffset>3918585</wp:posOffset>
            </wp:positionH>
            <wp:positionV relativeFrom="paragraph">
              <wp:posOffset>-603852</wp:posOffset>
            </wp:positionV>
            <wp:extent cx="1713565" cy="669851"/>
            <wp:effectExtent l="0" t="0" r="127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65" cy="66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E2B" w:rsidRPr="00E4782D" w:rsidRDefault="002F169A" w:rsidP="00C43BC5">
      <w:pPr>
        <w:jc w:val="both"/>
        <w:rPr>
          <w:b/>
          <w:sz w:val="32"/>
        </w:rPr>
      </w:pPr>
      <w:r>
        <w:rPr>
          <w:b/>
          <w:sz w:val="32"/>
        </w:rPr>
        <w:br/>
      </w:r>
      <w:r w:rsidR="00E4782D" w:rsidRPr="00E4782D">
        <w:rPr>
          <w:b/>
          <w:sz w:val="32"/>
        </w:rPr>
        <w:t xml:space="preserve">Důrazné varování: Prověřujte si </w:t>
      </w:r>
      <w:r w:rsidR="00E4782D">
        <w:rPr>
          <w:b/>
          <w:sz w:val="32"/>
        </w:rPr>
        <w:t xml:space="preserve">kontakty na </w:t>
      </w:r>
      <w:r w:rsidR="00E4782D" w:rsidRPr="00E4782D">
        <w:rPr>
          <w:b/>
          <w:sz w:val="32"/>
        </w:rPr>
        <w:t xml:space="preserve">online </w:t>
      </w:r>
      <w:r w:rsidR="00E4782D">
        <w:rPr>
          <w:b/>
          <w:sz w:val="32"/>
        </w:rPr>
        <w:t>prodejce</w:t>
      </w:r>
    </w:p>
    <w:p w:rsidR="00E4782D" w:rsidRDefault="00E4782D" w:rsidP="00C43BC5">
      <w:pPr>
        <w:jc w:val="both"/>
        <w:rPr>
          <w:b/>
          <w:i/>
        </w:rPr>
      </w:pPr>
      <w:r>
        <w:rPr>
          <w:b/>
          <w:i/>
        </w:rPr>
        <w:t xml:space="preserve">(Praha, 7. února 2017) Mnoho spotřebitelů </w:t>
      </w:r>
      <w:r w:rsidR="005C307F">
        <w:rPr>
          <w:b/>
          <w:i/>
        </w:rPr>
        <w:t xml:space="preserve">stále </w:t>
      </w:r>
      <w:r>
        <w:rPr>
          <w:b/>
          <w:i/>
        </w:rPr>
        <w:t xml:space="preserve">přichází o </w:t>
      </w:r>
      <w:r w:rsidR="001F3446">
        <w:rPr>
          <w:b/>
          <w:i/>
        </w:rPr>
        <w:t>své peníze</w:t>
      </w:r>
      <w:r>
        <w:rPr>
          <w:b/>
          <w:i/>
        </w:rPr>
        <w:t xml:space="preserve"> proto, že nakupují v e-</w:t>
      </w:r>
      <w:proofErr w:type="spellStart"/>
      <w:r>
        <w:rPr>
          <w:b/>
          <w:i/>
        </w:rPr>
        <w:t>shopech</w:t>
      </w:r>
      <w:proofErr w:type="spellEnd"/>
      <w:r>
        <w:rPr>
          <w:b/>
          <w:i/>
        </w:rPr>
        <w:t xml:space="preserve">, které neuvádějí žádné kontaktní údaje ani podmínky nákupu. </w:t>
      </w:r>
      <w:r w:rsidR="002F169A">
        <w:rPr>
          <w:b/>
          <w:i/>
        </w:rPr>
        <w:t>Přitom jd</w:t>
      </w:r>
      <w:r w:rsidR="002F24C2">
        <w:rPr>
          <w:b/>
          <w:i/>
        </w:rPr>
        <w:t xml:space="preserve">e </w:t>
      </w:r>
      <w:r w:rsidR="002F169A">
        <w:rPr>
          <w:b/>
          <w:i/>
        </w:rPr>
        <w:t xml:space="preserve">o </w:t>
      </w:r>
      <w:r>
        <w:rPr>
          <w:b/>
          <w:i/>
        </w:rPr>
        <w:t>základní znak podvodu nebo neférov</w:t>
      </w:r>
      <w:r w:rsidR="002F24C2">
        <w:rPr>
          <w:b/>
          <w:i/>
        </w:rPr>
        <w:t>ých</w:t>
      </w:r>
      <w:r>
        <w:rPr>
          <w:b/>
          <w:i/>
        </w:rPr>
        <w:t xml:space="preserve"> obchodník</w:t>
      </w:r>
      <w:r w:rsidR="002F24C2">
        <w:rPr>
          <w:b/>
          <w:i/>
        </w:rPr>
        <w:t>ů</w:t>
      </w:r>
      <w:r>
        <w:rPr>
          <w:b/>
          <w:i/>
        </w:rPr>
        <w:t>, kte</w:t>
      </w:r>
      <w:r w:rsidR="002F24C2">
        <w:rPr>
          <w:b/>
          <w:i/>
        </w:rPr>
        <w:t>ří</w:t>
      </w:r>
      <w:r>
        <w:rPr>
          <w:b/>
          <w:i/>
        </w:rPr>
        <w:t xml:space="preserve"> zaplacené zboží buď n</w:t>
      </w:r>
      <w:r w:rsidR="002F24C2">
        <w:rPr>
          <w:b/>
          <w:i/>
        </w:rPr>
        <w:t>epošlou</w:t>
      </w:r>
      <w:r>
        <w:rPr>
          <w:b/>
          <w:i/>
        </w:rPr>
        <w:t xml:space="preserve"> vůbec, nebo </w:t>
      </w:r>
      <w:r w:rsidR="002F169A">
        <w:rPr>
          <w:b/>
          <w:i/>
        </w:rPr>
        <w:t>v nízké kvalitě</w:t>
      </w:r>
      <w:r>
        <w:rPr>
          <w:b/>
          <w:i/>
        </w:rPr>
        <w:t xml:space="preserve">. Při Dni bezpečnějšího internetu, který </w:t>
      </w:r>
      <w:r w:rsidR="005C307F">
        <w:rPr>
          <w:b/>
          <w:i/>
        </w:rPr>
        <w:t xml:space="preserve">letos </w:t>
      </w:r>
      <w:r>
        <w:rPr>
          <w:b/>
          <w:i/>
        </w:rPr>
        <w:t>připadá n</w:t>
      </w:r>
      <w:r w:rsidR="005C307F">
        <w:rPr>
          <w:b/>
          <w:i/>
        </w:rPr>
        <w:t>a</w:t>
      </w:r>
      <w:r>
        <w:rPr>
          <w:b/>
          <w:i/>
        </w:rPr>
        <w:t xml:space="preserve"> 7. února, Evropské spotřebitelské centrum </w:t>
      </w:r>
      <w:r w:rsidR="005F3246">
        <w:rPr>
          <w:b/>
          <w:i/>
        </w:rPr>
        <w:t>varuje</w:t>
      </w:r>
      <w:r w:rsidR="005C307F">
        <w:rPr>
          <w:b/>
          <w:i/>
        </w:rPr>
        <w:t>: kdo nenabízí existující kontaktní adresu, není důvěryhodný.</w:t>
      </w:r>
    </w:p>
    <w:p w:rsidR="00062AE7" w:rsidRDefault="005C307F" w:rsidP="00C43BC5">
      <w:pPr>
        <w:jc w:val="both"/>
      </w:pPr>
      <w:r>
        <w:t>„</w:t>
      </w:r>
      <w:r w:rsidR="00062AE7">
        <w:t>Poslední dobou se na nás obrátila řada lidí, kteří se nechali zlákat nabídkou profesionálně a evropsky vyhlížejícího e-</w:t>
      </w:r>
      <w:proofErr w:type="spellStart"/>
      <w:r w:rsidR="00062AE7">
        <w:t>shopu</w:t>
      </w:r>
      <w:proofErr w:type="spellEnd"/>
      <w:r w:rsidR="00062AE7" w:rsidRPr="00062AE7">
        <w:t xml:space="preserve"> </w:t>
      </w:r>
      <w:r w:rsidR="00062AE7">
        <w:t xml:space="preserve">a zakoupili na něm obuv, oblečení, kabelku či parfém. Vůbec přitom </w:t>
      </w:r>
      <w:r w:rsidR="002F169A">
        <w:t xml:space="preserve">nevěnovali pozornost tomu, že prodejce </w:t>
      </w:r>
      <w:r w:rsidR="00062AE7">
        <w:t>neuvádí všeobecné obchodní podmínky a</w:t>
      </w:r>
      <w:r w:rsidR="00C43BC5">
        <w:t>ni jakékoli kontaktní údaje. Za </w:t>
      </w:r>
      <w:r w:rsidR="00062AE7">
        <w:t>takový údaj přitom nelze považovat pouhý kontaktní formulář,“ uvádí Ondřej Tichota z Evropského spotřebitelského centra při Č</w:t>
      </w:r>
      <w:r w:rsidR="002F169A">
        <w:t>eské obchodní inspekci.</w:t>
      </w:r>
      <w:r w:rsidR="00062AE7">
        <w:t xml:space="preserve"> </w:t>
      </w:r>
      <w:r w:rsidR="002F169A">
        <w:t>„Dnes už navíc neplatí, že podvodníka značí špatná jazyková úprava webu či inzerátu v češtině či jiném evropském jazyce.“</w:t>
      </w:r>
    </w:p>
    <w:p w:rsidR="005C307F" w:rsidRDefault="00874698" w:rsidP="00C43BC5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449580</wp:posOffset>
                </wp:positionV>
                <wp:extent cx="2762250" cy="153352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533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015" w:rsidRPr="00CE644C" w:rsidRDefault="00BD1015" w:rsidP="0087469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Základní i</w:t>
                            </w:r>
                            <w:r w:rsidRPr="00CE644C">
                              <w:rPr>
                                <w:b/>
                              </w:rPr>
                              <w:t xml:space="preserve">ndikátory neférového </w:t>
                            </w:r>
                            <w:r>
                              <w:rPr>
                                <w:b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shopu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BD1015" w:rsidRDefault="00BD1015" w:rsidP="0087469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Neuvádí kontaktní adresu ani e-mail.</w:t>
                            </w:r>
                          </w:p>
                          <w:p w:rsidR="00BD1015" w:rsidRDefault="00BD1015" w:rsidP="0087469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Neuvádí všeobecné obchodní podmínky, včetně práva reklamovat vadné zboží.</w:t>
                            </w:r>
                          </w:p>
                          <w:p w:rsidR="00BD1015" w:rsidRDefault="00BD1015" w:rsidP="0087469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Neinformuje o právu spotřebitele na odstoupení od smlouvy.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.4pt;margin-top:35.4pt;width:217.5pt;height:1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" fillcolor="#e7e6e6 [3214]">
                <v:textbox>
                  <w:txbxContent>
                    <w:p w:rsidR="00BD1015" w:rsidRPr="00CE644C" w:rsidRDefault="00BD1015" w:rsidP="0087469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Základní i</w:t>
                      </w:r>
                      <w:r w:rsidRPr="00CE644C">
                        <w:rPr>
                          <w:b/>
                        </w:rPr>
                        <w:t xml:space="preserve">ndikátory neférového </w:t>
                      </w:r>
                      <w:r>
                        <w:rPr>
                          <w:b/>
                        </w:rPr>
                        <w:t>e-</w:t>
                      </w:r>
                      <w:proofErr w:type="spellStart"/>
                      <w:r>
                        <w:rPr>
                          <w:b/>
                        </w:rPr>
                        <w:t>shopu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BD1015" w:rsidRDefault="00BD1015" w:rsidP="0087469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</w:pPr>
                      <w:r>
                        <w:t>Neuvádí kontaktní adresu ani e-mail.</w:t>
                      </w:r>
                    </w:p>
                    <w:p w:rsidR="00BD1015" w:rsidRDefault="00BD1015" w:rsidP="0087469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</w:pPr>
                      <w:r>
                        <w:t>Neuvádí všeobecné obchodní podmínky, včetně práva reklamovat vadné zboží.</w:t>
                      </w:r>
                    </w:p>
                    <w:p w:rsidR="00BD1015" w:rsidRDefault="00BD1015" w:rsidP="0087469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</w:pPr>
                      <w:r>
                        <w:t>Neinformuje o právu spotřebitele na odstoupení od smlouvy.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2AE7">
        <w:t xml:space="preserve">Někteří asijští prodejci si </w:t>
      </w:r>
      <w:r w:rsidR="002F169A">
        <w:t xml:space="preserve">také </w:t>
      </w:r>
      <w:r w:rsidR="00062AE7">
        <w:t>zakládají weby například s </w:t>
      </w:r>
      <w:proofErr w:type="gramStart"/>
      <w:r w:rsidR="00062AE7">
        <w:t>koncovk</w:t>
      </w:r>
      <w:r w:rsidR="002F169A">
        <w:t>ou</w:t>
      </w:r>
      <w:proofErr w:type="gramEnd"/>
      <w:r w:rsidR="00C43BC5">
        <w:t xml:space="preserve"> .</w:t>
      </w:r>
      <w:proofErr w:type="gramStart"/>
      <w:r w:rsidR="00C43BC5">
        <w:t>de</w:t>
      </w:r>
      <w:proofErr w:type="gramEnd"/>
      <w:r w:rsidR="00C43BC5">
        <w:t>, což evokuje, že e-</w:t>
      </w:r>
      <w:proofErr w:type="spellStart"/>
      <w:r w:rsidR="00C43BC5">
        <w:t>shop</w:t>
      </w:r>
      <w:proofErr w:type="spellEnd"/>
      <w:r w:rsidR="00C43BC5">
        <w:t xml:space="preserve"> je </w:t>
      </w:r>
      <w:r w:rsidR="00062AE7">
        <w:t xml:space="preserve">německý, a přitom kupní smlouva se evropským právem neřídí a spotřebitel </w:t>
      </w:r>
      <w:r w:rsidR="002F169A">
        <w:t>ztrácí</w:t>
      </w:r>
      <w:r w:rsidR="00C43BC5">
        <w:t xml:space="preserve"> právo </w:t>
      </w:r>
      <w:r w:rsidR="00C43BC5" w:rsidRPr="00C43BC5">
        <w:t>na</w:t>
      </w:r>
      <w:r w:rsidR="00C43BC5">
        <w:t> </w:t>
      </w:r>
      <w:r w:rsidR="00062AE7" w:rsidRPr="00C43BC5">
        <w:t>odstoupení</w:t>
      </w:r>
      <w:r w:rsidR="00062AE7">
        <w:t xml:space="preserve"> od smlouvy bez udání důvodu</w:t>
      </w:r>
      <w:r w:rsidR="002F169A">
        <w:t xml:space="preserve"> či reklamaci</w:t>
      </w:r>
      <w:r w:rsidR="00062AE7">
        <w:t>.</w:t>
      </w:r>
      <w:r w:rsidR="00621550">
        <w:t xml:space="preserve"> Mnohdy to ale </w:t>
      </w:r>
      <w:r w:rsidR="004C3816">
        <w:t xml:space="preserve">lidé </w:t>
      </w:r>
      <w:r w:rsidR="00621550">
        <w:t>zjis</w:t>
      </w:r>
      <w:r w:rsidR="00C43BC5">
        <w:t>tí až ve chvíli, kdy je </w:t>
      </w:r>
      <w:r w:rsidR="001F3446">
        <w:t>problém a</w:t>
      </w:r>
      <w:r w:rsidR="00621550">
        <w:t xml:space="preserve"> je </w:t>
      </w:r>
      <w:r w:rsidR="001F3446">
        <w:t>ho těžké ho jakkoli vyřešit</w:t>
      </w:r>
      <w:r w:rsidR="004C3816">
        <w:t xml:space="preserve">. </w:t>
      </w:r>
    </w:p>
    <w:p w:rsidR="00B85094" w:rsidRDefault="00566F30" w:rsidP="00C43BC5">
      <w:pPr>
        <w:jc w:val="both"/>
      </w:pPr>
      <w:r>
        <w:t>Z údajů Evropského statistického úřadu (</w:t>
      </w:r>
      <w:proofErr w:type="spellStart"/>
      <w:r>
        <w:t>Eurostat</w:t>
      </w:r>
      <w:proofErr w:type="spellEnd"/>
      <w:r>
        <w:t>) plyne, že n</w:t>
      </w:r>
      <w:r w:rsidR="001441FF">
        <w:t xml:space="preserve">árůst počtu </w:t>
      </w:r>
      <w:r w:rsidR="00164914">
        <w:t>Čechů</w:t>
      </w:r>
      <w:r w:rsidR="001441FF">
        <w:t xml:space="preserve">, kteří </w:t>
      </w:r>
      <w:r w:rsidR="00164914">
        <w:t>nakupují online</w:t>
      </w:r>
      <w:r w:rsidR="005C4346">
        <w:t xml:space="preserve">, </w:t>
      </w:r>
      <w:r w:rsidR="00C43BC5">
        <w:t>je </w:t>
      </w:r>
      <w:r w:rsidR="00164914">
        <w:t xml:space="preserve">za poslední čtyři roky </w:t>
      </w:r>
      <w:r w:rsidR="001441FF">
        <w:t xml:space="preserve">nejvyšší v Evropské unii. Zatímco v roce 2012 </w:t>
      </w:r>
      <w:r w:rsidR="001D0EF8">
        <w:t xml:space="preserve">jich </w:t>
      </w:r>
      <w:r w:rsidR="00164914">
        <w:t>nakoupilo online 32</w:t>
      </w:r>
      <w:r w:rsidR="001441FF">
        <w:t xml:space="preserve"> %, </w:t>
      </w:r>
      <w:r w:rsidR="005C4346">
        <w:t>loni</w:t>
      </w:r>
      <w:r w:rsidR="001441FF">
        <w:t xml:space="preserve"> to</w:t>
      </w:r>
      <w:r w:rsidR="00C43BC5">
        <w:t> </w:t>
      </w:r>
      <w:r w:rsidR="001441FF">
        <w:t xml:space="preserve">bylo už </w:t>
      </w:r>
      <w:r w:rsidR="00164914">
        <w:t>4</w:t>
      </w:r>
      <w:r w:rsidR="001441FF">
        <w:t xml:space="preserve">7 %. </w:t>
      </w:r>
      <w:r w:rsidR="004C3816">
        <w:t>Průměr</w:t>
      </w:r>
      <w:r>
        <w:t xml:space="preserve"> v EU je ale s</w:t>
      </w:r>
      <w:r w:rsidR="001441FF">
        <w:t xml:space="preserve">tále </w:t>
      </w:r>
      <w:r w:rsidR="00164914">
        <w:t xml:space="preserve">o dvě procenta </w:t>
      </w:r>
      <w:r w:rsidR="00BD1015">
        <w:t>vyšší,</w:t>
      </w:r>
      <w:r w:rsidR="001441FF">
        <w:t xml:space="preserve"> </w:t>
      </w:r>
      <w:r w:rsidR="005A47F1">
        <w:t>online nakupuje nejvíc Britů a Dánů (</w:t>
      </w:r>
      <w:r w:rsidR="001441FF">
        <w:t>přes 80 %</w:t>
      </w:r>
      <w:r w:rsidR="005A47F1">
        <w:t>)</w:t>
      </w:r>
      <w:r w:rsidR="001441FF">
        <w:t xml:space="preserve">. </w:t>
      </w:r>
    </w:p>
    <w:p w:rsidR="00CE644C" w:rsidRDefault="00874698" w:rsidP="00C43BC5">
      <w:pPr>
        <w:jc w:val="both"/>
      </w:pPr>
      <w:r>
        <w:t>„P</w:t>
      </w:r>
      <w:r w:rsidR="0084595E">
        <w:t>růzkum</w:t>
      </w:r>
      <w:r>
        <w:t xml:space="preserve"> mezi</w:t>
      </w:r>
      <w:r w:rsidR="0084595E">
        <w:t xml:space="preserve"> </w:t>
      </w:r>
      <w:r>
        <w:t>statisíci obyvatel</w:t>
      </w:r>
      <w:r w:rsidR="00892451">
        <w:t xml:space="preserve"> EU</w:t>
      </w:r>
      <w:r w:rsidR="00481B27">
        <w:t xml:space="preserve"> </w:t>
      </w:r>
      <w:r>
        <w:t>také ukáza</w:t>
      </w:r>
      <w:r w:rsidR="0084595E">
        <w:t>l, že 3 % lidí se st</w:t>
      </w:r>
      <w:r w:rsidR="001A1DC4">
        <w:t>ala</w:t>
      </w:r>
      <w:r w:rsidR="0084595E">
        <w:t xml:space="preserve"> obětí podvodu</w:t>
      </w:r>
      <w:r w:rsidR="00B50723">
        <w:t>.</w:t>
      </w:r>
      <w:r w:rsidR="0084595E">
        <w:t xml:space="preserve"> </w:t>
      </w:r>
      <w:r>
        <w:t>P</w:t>
      </w:r>
      <w:r w:rsidR="00566F30">
        <w:t>řitom</w:t>
      </w:r>
      <w:r w:rsidR="00C45FF5">
        <w:t xml:space="preserve"> průměrn</w:t>
      </w:r>
      <w:r>
        <w:t>á útrata při nákupu online je o</w:t>
      </w:r>
      <w:r w:rsidR="00C45FF5">
        <w:t>d 100 do 500 eur</w:t>
      </w:r>
      <w:r w:rsidR="001F3446">
        <w:t>. P</w:t>
      </w:r>
      <w:r>
        <w:t xml:space="preserve">roto je vhodné </w:t>
      </w:r>
      <w:r w:rsidR="00C01B8E">
        <w:t>všímat</w:t>
      </w:r>
      <w:r>
        <w:t xml:space="preserve"> si, jak se </w:t>
      </w:r>
      <w:r w:rsidR="00C01B8E">
        <w:t xml:space="preserve">dosud neznámý </w:t>
      </w:r>
      <w:r>
        <w:t>prodejce prezentuje,</w:t>
      </w:r>
      <w:r w:rsidR="001F3446">
        <w:t xml:space="preserve"> než mu pošleme své peníze,</w:t>
      </w:r>
      <w:r w:rsidR="00FB267F">
        <w:t>“ upozorňuje Ond</w:t>
      </w:r>
      <w:r>
        <w:t>řej Tichota a podotýká, že</w:t>
      </w:r>
      <w:r w:rsidR="00C43BC5">
        <w:t> </w:t>
      </w:r>
      <w:r w:rsidR="003E5218">
        <w:t xml:space="preserve">indikátorem </w:t>
      </w:r>
      <w:r w:rsidR="001F3446">
        <w:t>důvěryhodnosti mohou být i</w:t>
      </w:r>
      <w:r w:rsidR="003E5218">
        <w:t xml:space="preserve"> možnosti platby. Mezi spolehlivé se počítají platby</w:t>
      </w:r>
      <w:r w:rsidR="00C45FF5">
        <w:t xml:space="preserve"> kartou na zabezpečených platebních bránách </w:t>
      </w:r>
      <w:r>
        <w:t>nebo</w:t>
      </w:r>
      <w:r w:rsidR="00C45FF5">
        <w:t xml:space="preserve"> </w:t>
      </w:r>
      <w:r w:rsidR="00B42A5D">
        <w:t xml:space="preserve">přes </w:t>
      </w:r>
      <w:r w:rsidR="00C45FF5">
        <w:t>sy</w:t>
      </w:r>
      <w:r>
        <w:t>stém</w:t>
      </w:r>
      <w:r w:rsidR="003E5218">
        <w:t>y elektronických peněženek.</w:t>
      </w:r>
    </w:p>
    <w:p w:rsidR="00CE644C" w:rsidRDefault="00874698" w:rsidP="00C43BC5">
      <w:pPr>
        <w:jc w:val="both"/>
      </w:pPr>
      <w:r>
        <w:t>Ně</w:t>
      </w:r>
      <w:r w:rsidR="009E2909">
        <w:t>které z</w:t>
      </w:r>
      <w:r w:rsidR="00C01B8E">
        <w:t xml:space="preserve"> výše </w:t>
      </w:r>
      <w:r w:rsidR="003E5218">
        <w:t>uvedených</w:t>
      </w:r>
      <w:r w:rsidR="009E2909">
        <w:t xml:space="preserve"> informací</w:t>
      </w:r>
      <w:r w:rsidR="00DC7110" w:rsidRPr="00DC7110">
        <w:t xml:space="preserve"> poskytují i mnohé podvodné e-</w:t>
      </w:r>
      <w:proofErr w:type="spellStart"/>
      <w:r w:rsidR="00DC7110" w:rsidRPr="00DC7110">
        <w:t>shopy</w:t>
      </w:r>
      <w:proofErr w:type="spellEnd"/>
      <w:r w:rsidR="009E2909">
        <w:t>, a p</w:t>
      </w:r>
      <w:r w:rsidR="00DC7110">
        <w:t xml:space="preserve">roto je dobré věnovat několik </w:t>
      </w:r>
      <w:r w:rsidR="00C01B8E">
        <w:t xml:space="preserve">vteřin či </w:t>
      </w:r>
      <w:r w:rsidR="00DC7110">
        <w:t xml:space="preserve">minut ověření </w:t>
      </w:r>
      <w:r w:rsidR="00CE644C">
        <w:t>důvěryhodnost</w:t>
      </w:r>
      <w:r w:rsidR="00DC7110">
        <w:t>i</w:t>
      </w:r>
      <w:r w:rsidR="00CE644C">
        <w:t xml:space="preserve"> prodejce</w:t>
      </w:r>
      <w:r w:rsidR="00DC7110">
        <w:t>. Návod</w:t>
      </w:r>
      <w:r w:rsidR="00CE644C">
        <w:t xml:space="preserve">, </w:t>
      </w:r>
      <w:r w:rsidR="00DC7110">
        <w:t>jak to udělat</w:t>
      </w:r>
      <w:r w:rsidR="00CE644C">
        <w:t xml:space="preserve">, </w:t>
      </w:r>
      <w:r w:rsidR="00DC7110">
        <w:t>je</w:t>
      </w:r>
      <w:r>
        <w:t xml:space="preserve"> na </w:t>
      </w:r>
      <w:r w:rsidR="00C43BC5">
        <w:t xml:space="preserve">webu </w:t>
      </w:r>
      <w:r w:rsidR="00B70677">
        <w:t xml:space="preserve">ESC ČR </w:t>
      </w:r>
      <w:hyperlink r:id="rId8" w:history="1">
        <w:r w:rsidR="00CE644C" w:rsidRPr="00200A0D">
          <w:rPr>
            <w:rStyle w:val="Hypertextovodkaz"/>
          </w:rPr>
          <w:t>www.evropskyspotrebitel.cz/podvod</w:t>
        </w:r>
      </w:hyperlink>
      <w:r w:rsidR="00CE644C">
        <w:t xml:space="preserve">. </w:t>
      </w:r>
      <w:r w:rsidR="00C01B8E">
        <w:t>Varování před pod</w:t>
      </w:r>
      <w:r w:rsidR="007153D9">
        <w:t xml:space="preserve">vody obsahuje i krátký videoklip </w:t>
      </w:r>
      <w:hyperlink r:id="rId9" w:history="1">
        <w:r w:rsidR="007153D9" w:rsidRPr="007153D9">
          <w:rPr>
            <w:rStyle w:val="Hypertextovodkaz"/>
          </w:rPr>
          <w:t>zde</w:t>
        </w:r>
      </w:hyperlink>
      <w:r w:rsidR="007153D9">
        <w:t>.</w:t>
      </w:r>
    </w:p>
    <w:p w:rsidR="002F169A" w:rsidRPr="00B70677" w:rsidRDefault="00E90425" w:rsidP="00C43BC5">
      <w:pPr>
        <w:jc w:val="both"/>
        <w:rPr>
          <w:b/>
          <w:i/>
        </w:rPr>
      </w:pPr>
      <w:r>
        <w:rPr>
          <w:i/>
        </w:rPr>
        <w:br/>
      </w:r>
      <w:r w:rsidR="00B70677">
        <w:rPr>
          <w:b/>
          <w:i/>
        </w:rPr>
        <w:br/>
      </w:r>
      <w:bookmarkStart w:id="0" w:name="_GoBack"/>
      <w:bookmarkEnd w:id="0"/>
      <w:r w:rsidR="002F169A" w:rsidRPr="00E90425">
        <w:rPr>
          <w:b/>
          <w:i/>
        </w:rPr>
        <w:t>Evropské spotřebitelské centrum</w:t>
      </w:r>
      <w:r>
        <w:rPr>
          <w:b/>
          <w:i/>
        </w:rPr>
        <w:t xml:space="preserve"> ČR</w:t>
      </w:r>
      <w:r w:rsidR="002F169A" w:rsidRPr="00E90425">
        <w:rPr>
          <w:b/>
          <w:i/>
        </w:rPr>
        <w:t xml:space="preserve"> </w:t>
      </w:r>
      <w:r w:rsidR="002F169A" w:rsidRPr="002F169A">
        <w:rPr>
          <w:i/>
        </w:rPr>
        <w:t xml:space="preserve">bezplatně pomáhá spotřebitelům řešit spory s podnikateli z jiných zemí EU, Norska a Islandu. Poskytuje informace o právech spotřebitelů na jednotném trhu. Je členem sítě Evropských spotřebitelských center (ECC-Net). Je financované Evropskou komisí a Českou obchodní inspekcí, při níž česká pobočka sítě působí. Více na </w:t>
      </w:r>
      <w:hyperlink r:id="rId10" w:history="1">
        <w:r w:rsidR="002F169A" w:rsidRPr="002F169A">
          <w:rPr>
            <w:rStyle w:val="Hypertextovodkaz"/>
            <w:i/>
          </w:rPr>
          <w:t>www.evropskyspotrebitel.cz</w:t>
        </w:r>
      </w:hyperlink>
      <w:r w:rsidR="002F169A" w:rsidRPr="002F169A">
        <w:rPr>
          <w:i/>
        </w:rPr>
        <w:t xml:space="preserve">. </w:t>
      </w:r>
    </w:p>
    <w:sectPr w:rsidR="002F169A" w:rsidRPr="00B70677" w:rsidSect="002F169A">
      <w:footerReference w:type="default" r:id="rId11"/>
      <w:pgSz w:w="11906" w:h="16838"/>
      <w:pgMar w:top="56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265" w:rsidRDefault="007A4265" w:rsidP="002F169A">
      <w:pPr>
        <w:spacing w:after="0" w:line="240" w:lineRule="auto"/>
      </w:pPr>
      <w:r>
        <w:separator/>
      </w:r>
    </w:p>
  </w:endnote>
  <w:endnote w:type="continuationSeparator" w:id="0">
    <w:p w:rsidR="007A4265" w:rsidRDefault="007A4265" w:rsidP="002F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015" w:rsidRDefault="00BD1015">
    <w:pPr>
      <w:pStyle w:val="Zpat"/>
    </w:pPr>
    <w:r w:rsidRPr="002F169A">
      <w:rPr>
        <w:b/>
      </w:rPr>
      <w:t xml:space="preserve">Kontakt pro média: </w:t>
    </w:r>
    <w:r w:rsidRPr="002F169A">
      <w:rPr>
        <w:b/>
      </w:rPr>
      <w:br/>
    </w:r>
    <w:r>
      <w:t>Ondřej Tichota, poradce pro komunikaci ESC</w:t>
    </w:r>
  </w:p>
  <w:p w:rsidR="00BD1015" w:rsidRDefault="00BD1015">
    <w:pPr>
      <w:pStyle w:val="Zpat"/>
    </w:pPr>
    <w:r>
      <w:t>731 553 653, otichota@coi.cz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265" w:rsidRDefault="007A4265" w:rsidP="002F169A">
      <w:pPr>
        <w:spacing w:after="0" w:line="240" w:lineRule="auto"/>
      </w:pPr>
      <w:r>
        <w:separator/>
      </w:r>
    </w:p>
  </w:footnote>
  <w:footnote w:type="continuationSeparator" w:id="0">
    <w:p w:rsidR="007A4265" w:rsidRDefault="007A4265" w:rsidP="002F1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00AD0"/>
    <w:multiLevelType w:val="hybridMultilevel"/>
    <w:tmpl w:val="C2B08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E262E"/>
    <w:multiLevelType w:val="hybridMultilevel"/>
    <w:tmpl w:val="8FBC9906"/>
    <w:lvl w:ilvl="0" w:tplc="05B2F7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99"/>
    <w:rsid w:val="00004E2B"/>
    <w:rsid w:val="00030FD4"/>
    <w:rsid w:val="00062AE7"/>
    <w:rsid w:val="001369E8"/>
    <w:rsid w:val="001441FF"/>
    <w:rsid w:val="00164914"/>
    <w:rsid w:val="00167558"/>
    <w:rsid w:val="001A1DC4"/>
    <w:rsid w:val="001D0EF8"/>
    <w:rsid w:val="001F3446"/>
    <w:rsid w:val="00237D94"/>
    <w:rsid w:val="002F169A"/>
    <w:rsid w:val="002F24C2"/>
    <w:rsid w:val="003A2D8D"/>
    <w:rsid w:val="003E5218"/>
    <w:rsid w:val="00426568"/>
    <w:rsid w:val="00481B27"/>
    <w:rsid w:val="00485C75"/>
    <w:rsid w:val="004C3816"/>
    <w:rsid w:val="004E13F6"/>
    <w:rsid w:val="004E5CBA"/>
    <w:rsid w:val="00566F30"/>
    <w:rsid w:val="005A47F1"/>
    <w:rsid w:val="005C307F"/>
    <w:rsid w:val="005C4346"/>
    <w:rsid w:val="005F3246"/>
    <w:rsid w:val="00621550"/>
    <w:rsid w:val="0066267E"/>
    <w:rsid w:val="007153D9"/>
    <w:rsid w:val="007A4265"/>
    <w:rsid w:val="0084595E"/>
    <w:rsid w:val="00874698"/>
    <w:rsid w:val="00891F26"/>
    <w:rsid w:val="00892451"/>
    <w:rsid w:val="00894A84"/>
    <w:rsid w:val="008A336E"/>
    <w:rsid w:val="008A75E8"/>
    <w:rsid w:val="008D3F17"/>
    <w:rsid w:val="00947201"/>
    <w:rsid w:val="0096063C"/>
    <w:rsid w:val="009C61B8"/>
    <w:rsid w:val="009D7CB1"/>
    <w:rsid w:val="009E2909"/>
    <w:rsid w:val="009F1E99"/>
    <w:rsid w:val="00AF58E7"/>
    <w:rsid w:val="00B040C8"/>
    <w:rsid w:val="00B33DC4"/>
    <w:rsid w:val="00B42A3E"/>
    <w:rsid w:val="00B42A5D"/>
    <w:rsid w:val="00B50723"/>
    <w:rsid w:val="00B70677"/>
    <w:rsid w:val="00B85094"/>
    <w:rsid w:val="00BD1015"/>
    <w:rsid w:val="00C01B8E"/>
    <w:rsid w:val="00C06D1E"/>
    <w:rsid w:val="00C43BC5"/>
    <w:rsid w:val="00C45FF5"/>
    <w:rsid w:val="00C479A9"/>
    <w:rsid w:val="00CE644C"/>
    <w:rsid w:val="00CE7A68"/>
    <w:rsid w:val="00D36C17"/>
    <w:rsid w:val="00DC7110"/>
    <w:rsid w:val="00DE6470"/>
    <w:rsid w:val="00E403F1"/>
    <w:rsid w:val="00E4782D"/>
    <w:rsid w:val="00E67F31"/>
    <w:rsid w:val="00E90425"/>
    <w:rsid w:val="00E91B3D"/>
    <w:rsid w:val="00F47F66"/>
    <w:rsid w:val="00F532E0"/>
    <w:rsid w:val="00F61EE4"/>
    <w:rsid w:val="00FB267F"/>
    <w:rsid w:val="00FD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CF733-B4F6-42DE-A522-80FD9EDD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64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644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69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F1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169A"/>
  </w:style>
  <w:style w:type="paragraph" w:styleId="Zpat">
    <w:name w:val="footer"/>
    <w:basedOn w:val="Normln"/>
    <w:link w:val="ZpatChar"/>
    <w:uiPriority w:val="99"/>
    <w:unhideWhenUsed/>
    <w:rsid w:val="002F1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1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ropskyspotrebitel.cz/podvo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vropskyspotrebite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_YUbjX9apY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24</cp:revision>
  <dcterms:created xsi:type="dcterms:W3CDTF">2017-02-06T07:13:00Z</dcterms:created>
  <dcterms:modified xsi:type="dcterms:W3CDTF">2017-02-06T20:03:00Z</dcterms:modified>
</cp:coreProperties>
</file>