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127"/>
      </w:tblGrid>
      <w:tr w:rsidR="002D7F03" w:rsidRPr="00A34360" w14:paraId="47B791CE" w14:textId="77777777" w:rsidTr="002D7F03">
        <w:trPr>
          <w:trHeight w:val="907"/>
        </w:trPr>
        <w:tc>
          <w:tcPr>
            <w:tcW w:w="3085" w:type="dxa"/>
            <w:shd w:val="clear" w:color="auto" w:fill="auto"/>
          </w:tcPr>
          <w:p w14:paraId="09F54504" w14:textId="19D900EE" w:rsidR="002D7F03" w:rsidRPr="00A34360" w:rsidRDefault="008072AB" w:rsidP="002D7F03">
            <w:pPr>
              <w:rPr>
                <w:rFonts w:ascii="Calibri" w:hAnsi="Calibri"/>
                <w:lang w:val="en-GB"/>
              </w:rPr>
            </w:pPr>
            <w:r w:rsidRPr="00A34360">
              <w:rPr>
                <w:rFonts w:ascii="Calibri" w:hAnsi="Calibri"/>
                <w:noProof/>
                <w:lang w:val="en-GB"/>
              </w:rPr>
              <w:drawing>
                <wp:inline distT="0" distB="0" distL="0" distR="0" wp14:anchorId="26838B5C" wp14:editId="60618FDD">
                  <wp:extent cx="1911350" cy="5778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7" w:type="dxa"/>
            <w:shd w:val="clear" w:color="auto" w:fill="D9D9D9"/>
            <w:vAlign w:val="center"/>
          </w:tcPr>
          <w:p w14:paraId="21655697" w14:textId="00F9E947" w:rsidR="002D7F03" w:rsidRPr="00A34360" w:rsidRDefault="00A34360" w:rsidP="002D7F03">
            <w:pPr>
              <w:jc w:val="center"/>
              <w:rPr>
                <w:rFonts w:ascii="Calibri" w:hAnsi="Calibri" w:cs="Arial"/>
                <w:b/>
                <w:sz w:val="56"/>
                <w:szCs w:val="56"/>
                <w:lang w:val="en-GB"/>
              </w:rPr>
            </w:pPr>
            <w:r w:rsidRPr="00A34360">
              <w:rPr>
                <w:rFonts w:ascii="Calibri" w:hAnsi="Calibri" w:cs="Arial"/>
                <w:b/>
                <w:sz w:val="56"/>
                <w:szCs w:val="56"/>
                <w:lang w:val="en-GB"/>
              </w:rPr>
              <w:t>PRESS RELEASE</w:t>
            </w:r>
          </w:p>
        </w:tc>
      </w:tr>
    </w:tbl>
    <w:p w14:paraId="68617974" w14:textId="77777777" w:rsidR="004E047A" w:rsidRPr="00A34360" w:rsidRDefault="004E047A" w:rsidP="00C54DF4">
      <w:pPr>
        <w:jc w:val="both"/>
        <w:rPr>
          <w:rFonts w:ascii="Calibri" w:hAnsi="Calibri"/>
          <w:sz w:val="22"/>
          <w:szCs w:val="22"/>
          <w:lang w:val="en-GB"/>
        </w:rPr>
      </w:pPr>
    </w:p>
    <w:p w14:paraId="7E7D4D60" w14:textId="70B29527" w:rsidR="00E210E3" w:rsidRPr="00A34360" w:rsidRDefault="00A34360" w:rsidP="00375BC6">
      <w:pPr>
        <w:spacing w:before="120"/>
        <w:jc w:val="both"/>
        <w:rPr>
          <w:rFonts w:ascii="Calibri" w:hAnsi="Calibri" w:cs="Arial"/>
          <w:b/>
          <w:color w:val="0070C0"/>
          <w:sz w:val="32"/>
          <w:szCs w:val="32"/>
          <w:lang w:val="en-GB"/>
        </w:rPr>
      </w:pPr>
      <w:r w:rsidRPr="00A34360">
        <w:rPr>
          <w:rFonts w:ascii="Calibri" w:hAnsi="Calibri" w:cs="Arial"/>
          <w:b/>
          <w:color w:val="0070C0"/>
          <w:sz w:val="32"/>
          <w:szCs w:val="32"/>
          <w:lang w:val="en-GB"/>
        </w:rPr>
        <w:t>2020: Historically best results of inspected fuels</w:t>
      </w:r>
    </w:p>
    <w:p w14:paraId="61F51D02" w14:textId="4F7BFB53" w:rsidR="00375BC6" w:rsidRPr="00A34360" w:rsidRDefault="00375BC6" w:rsidP="00B45AF8">
      <w:pPr>
        <w:spacing w:after="120"/>
        <w:rPr>
          <w:rFonts w:asciiTheme="minorHAnsi" w:hAnsiTheme="minorHAnsi" w:cstheme="minorHAnsi"/>
          <w:bCs/>
          <w:i/>
          <w:sz w:val="22"/>
          <w:szCs w:val="22"/>
          <w:lang w:val="en-GB"/>
        </w:rPr>
      </w:pPr>
      <w:r w:rsidRPr="00A34360">
        <w:rPr>
          <w:rFonts w:asciiTheme="minorHAnsi" w:hAnsiTheme="minorHAnsi" w:cstheme="minorHAnsi"/>
          <w:bCs/>
          <w:i/>
          <w:sz w:val="22"/>
          <w:szCs w:val="22"/>
          <w:lang w:val="en-GB"/>
        </w:rPr>
        <w:t>(</w:t>
      </w:r>
      <w:r w:rsidR="00A34360" w:rsidRPr="00A34360">
        <w:rPr>
          <w:rFonts w:asciiTheme="minorHAnsi" w:hAnsiTheme="minorHAnsi" w:cstheme="minorHAnsi"/>
          <w:bCs/>
          <w:i/>
          <w:sz w:val="22"/>
          <w:szCs w:val="22"/>
          <w:lang w:val="en-GB"/>
        </w:rPr>
        <w:t>Inter-annual comparison</w:t>
      </w:r>
      <w:r w:rsidRPr="00A34360">
        <w:rPr>
          <w:rFonts w:asciiTheme="minorHAnsi" w:hAnsiTheme="minorHAnsi" w:cstheme="minorHAnsi"/>
          <w:bCs/>
          <w:i/>
          <w:sz w:val="22"/>
          <w:szCs w:val="22"/>
          <w:lang w:val="en-GB"/>
        </w:rPr>
        <w:t xml:space="preserve">) </w:t>
      </w:r>
    </w:p>
    <w:p w14:paraId="0FE1583C" w14:textId="5D49A2CC" w:rsidR="00A34360" w:rsidRPr="00A34360" w:rsidRDefault="00A34360" w:rsidP="00A34360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A34360">
        <w:rPr>
          <w:rFonts w:asciiTheme="minorHAnsi" w:hAnsiTheme="minorHAnsi" w:cstheme="minorHAnsi"/>
          <w:b/>
          <w:i/>
          <w:sz w:val="22"/>
          <w:szCs w:val="22"/>
          <w:lang w:val="en-GB"/>
        </w:rPr>
        <w:t>(Prague, 8 February 2021)</w:t>
      </w:r>
      <w:r w:rsidRPr="00A3436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A34360">
        <w:rPr>
          <w:rFonts w:asciiTheme="minorHAnsi" w:hAnsiTheme="minorHAnsi" w:cstheme="minorHAnsi"/>
          <w:b/>
          <w:sz w:val="22"/>
          <w:szCs w:val="22"/>
          <w:lang w:val="en-GB"/>
        </w:rPr>
        <w:t>From</w:t>
      </w:r>
      <w:r w:rsidRPr="00A3436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the second half of 2001, the Czech Trade Inspection Authority has monitor</w:t>
      </w:r>
      <w:r w:rsidRPr="00A34360">
        <w:rPr>
          <w:rFonts w:asciiTheme="minorHAnsi" w:hAnsiTheme="minorHAnsi" w:cstheme="minorHAnsi"/>
          <w:b/>
          <w:sz w:val="22"/>
          <w:szCs w:val="22"/>
          <w:lang w:val="en-GB"/>
        </w:rPr>
        <w:t>ed</w:t>
      </w:r>
      <w:r w:rsidRPr="00A3436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the quality of </w:t>
      </w:r>
      <w:r w:rsidRPr="00A34360">
        <w:rPr>
          <w:rFonts w:asciiTheme="minorHAnsi" w:hAnsiTheme="minorHAnsi" w:cstheme="minorHAnsi"/>
          <w:b/>
          <w:sz w:val="22"/>
          <w:szCs w:val="22"/>
          <w:lang w:val="en-GB"/>
        </w:rPr>
        <w:t xml:space="preserve">collected </w:t>
      </w:r>
      <w:r w:rsidRPr="00A34360">
        <w:rPr>
          <w:rFonts w:asciiTheme="minorHAnsi" w:hAnsiTheme="minorHAnsi" w:cstheme="minorHAnsi"/>
          <w:b/>
          <w:sz w:val="22"/>
          <w:szCs w:val="22"/>
          <w:lang w:val="en-GB"/>
        </w:rPr>
        <w:t xml:space="preserve">fuel samples. Every year, it evaluates them and performs year-on-year comparisons. In 2020, only 0.5% of non-compliant fuel samples </w:t>
      </w:r>
      <w:proofErr w:type="gramStart"/>
      <w:r w:rsidRPr="00A34360">
        <w:rPr>
          <w:rFonts w:asciiTheme="minorHAnsi" w:hAnsiTheme="minorHAnsi" w:cstheme="minorHAnsi"/>
          <w:b/>
          <w:sz w:val="22"/>
          <w:szCs w:val="22"/>
          <w:lang w:val="en-GB"/>
        </w:rPr>
        <w:t>were</w:t>
      </w:r>
      <w:r w:rsidRPr="00A34360">
        <w:rPr>
          <w:rFonts w:asciiTheme="minorHAnsi" w:hAnsiTheme="minorHAnsi" w:cstheme="minorHAnsi"/>
          <w:b/>
          <w:sz w:val="22"/>
          <w:szCs w:val="22"/>
          <w:lang w:val="en-GB"/>
        </w:rPr>
        <w:t xml:space="preserve"> detected</w:t>
      </w:r>
      <w:proofErr w:type="gramEnd"/>
      <w:r w:rsidRPr="00A34360">
        <w:rPr>
          <w:rFonts w:asciiTheme="minorHAnsi" w:hAnsiTheme="minorHAnsi" w:cstheme="minorHAnsi"/>
          <w:b/>
          <w:sz w:val="22"/>
          <w:szCs w:val="22"/>
          <w:lang w:val="en-GB"/>
        </w:rPr>
        <w:t xml:space="preserve">, </w:t>
      </w:r>
      <w:r w:rsidRPr="00A34360">
        <w:rPr>
          <w:rFonts w:asciiTheme="minorHAnsi" w:hAnsiTheme="minorHAnsi" w:cstheme="minorHAnsi"/>
          <w:b/>
          <w:sz w:val="22"/>
          <w:szCs w:val="22"/>
          <w:lang w:val="en-GB"/>
        </w:rPr>
        <w:t xml:space="preserve">which is </w:t>
      </w:r>
      <w:r w:rsidRPr="00A34360">
        <w:rPr>
          <w:rFonts w:asciiTheme="minorHAnsi" w:hAnsiTheme="minorHAnsi" w:cstheme="minorHAnsi"/>
          <w:b/>
          <w:sz w:val="22"/>
          <w:szCs w:val="22"/>
          <w:lang w:val="en-GB"/>
        </w:rPr>
        <w:t xml:space="preserve">an all-time record. </w:t>
      </w:r>
      <w:bookmarkStart w:id="0" w:name="_GoBack"/>
      <w:bookmarkEnd w:id="0"/>
    </w:p>
    <w:p w14:paraId="5302B87B" w14:textId="0098F2C5" w:rsidR="00A34360" w:rsidRPr="00A34360" w:rsidRDefault="00A34360" w:rsidP="00A34360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A34360">
        <w:rPr>
          <w:rFonts w:asciiTheme="minorHAnsi" w:hAnsiTheme="minorHAnsi" w:cstheme="minorHAnsi"/>
          <w:sz w:val="22"/>
          <w:szCs w:val="22"/>
          <w:lang w:val="en-GB"/>
        </w:rPr>
        <w:t>It is clear from the table and graph of the year-on-year comparison from the second half of 2001 to 2020 that</w:t>
      </w:r>
      <w:r w:rsidRPr="00A34360">
        <w:rPr>
          <w:rFonts w:asciiTheme="minorHAnsi" w:hAnsiTheme="minorHAnsi" w:cstheme="minorHAnsi"/>
          <w:sz w:val="22"/>
          <w:szCs w:val="22"/>
          <w:lang w:val="en-GB"/>
        </w:rPr>
        <w:t xml:space="preserve"> the</w:t>
      </w:r>
      <w:r w:rsidRPr="00A34360">
        <w:rPr>
          <w:rFonts w:asciiTheme="minorHAnsi" w:hAnsiTheme="minorHAnsi" w:cstheme="minorHAnsi"/>
          <w:sz w:val="22"/>
          <w:szCs w:val="22"/>
          <w:lang w:val="en-GB"/>
        </w:rPr>
        <w:t xml:space="preserve"> fuel quality has been on a stable trend since 2015 and is even improving since 2019.</w:t>
      </w:r>
    </w:p>
    <w:p w14:paraId="7AC7286D" w14:textId="5C928FCF" w:rsidR="00A34360" w:rsidRPr="00A34360" w:rsidRDefault="00A34360" w:rsidP="00A34360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A34360">
        <w:rPr>
          <w:rFonts w:asciiTheme="minorHAnsi" w:hAnsiTheme="minorHAnsi" w:cstheme="minorHAnsi"/>
          <w:sz w:val="22"/>
          <w:szCs w:val="22"/>
          <w:lang w:val="en-GB"/>
        </w:rPr>
        <w:t>The d</w:t>
      </w:r>
      <w:r w:rsidRPr="00A34360">
        <w:rPr>
          <w:rFonts w:asciiTheme="minorHAnsi" w:hAnsiTheme="minorHAnsi" w:cstheme="minorHAnsi"/>
          <w:sz w:val="22"/>
          <w:szCs w:val="22"/>
          <w:lang w:val="en-GB"/>
        </w:rPr>
        <w:t>evelopment of fuel quality in</w:t>
      </w:r>
      <w:r w:rsidRPr="00A34360">
        <w:rPr>
          <w:rFonts w:asciiTheme="minorHAnsi" w:hAnsiTheme="minorHAnsi" w:cstheme="minorHAnsi"/>
          <w:sz w:val="22"/>
          <w:szCs w:val="22"/>
          <w:lang w:val="en-GB"/>
        </w:rPr>
        <w:t xml:space="preserve"> a</w:t>
      </w:r>
      <w:r w:rsidRPr="00A34360">
        <w:rPr>
          <w:rFonts w:asciiTheme="minorHAnsi" w:hAnsiTheme="minorHAnsi" w:cstheme="minorHAnsi"/>
          <w:sz w:val="22"/>
          <w:szCs w:val="22"/>
          <w:lang w:val="en-GB"/>
        </w:rPr>
        <w:t xml:space="preserve"> year-on-year comparison – individual fuel samples in </w:t>
      </w:r>
      <w:proofErr w:type="gramStart"/>
      <w:r w:rsidRPr="00A34360">
        <w:rPr>
          <w:rFonts w:asciiTheme="minorHAnsi" w:hAnsiTheme="minorHAnsi" w:cstheme="minorHAnsi"/>
          <w:sz w:val="22"/>
          <w:szCs w:val="22"/>
          <w:lang w:val="en-GB"/>
        </w:rPr>
        <w:t>%</w:t>
      </w:r>
      <w:proofErr w:type="gramEnd"/>
      <w:r w:rsidRPr="00A34360">
        <w:rPr>
          <w:rFonts w:asciiTheme="minorHAnsi" w:hAnsiTheme="minorHAnsi" w:cstheme="minorHAnsi"/>
          <w:sz w:val="22"/>
          <w:szCs w:val="22"/>
          <w:lang w:val="en-GB"/>
        </w:rPr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964"/>
        <w:gridCol w:w="964"/>
        <w:gridCol w:w="964"/>
        <w:gridCol w:w="964"/>
        <w:gridCol w:w="964"/>
        <w:gridCol w:w="964"/>
        <w:gridCol w:w="964"/>
        <w:gridCol w:w="1003"/>
      </w:tblGrid>
      <w:tr w:rsidR="00F064BA" w:rsidRPr="00A34360" w14:paraId="65058217" w14:textId="77777777" w:rsidTr="00B43DDF">
        <w:trPr>
          <w:jc w:val="center"/>
        </w:trPr>
        <w:tc>
          <w:tcPr>
            <w:tcW w:w="9033" w:type="dxa"/>
            <w:gridSpan w:val="9"/>
          </w:tcPr>
          <w:p w14:paraId="1C9A42E8" w14:textId="03039EA9" w:rsidR="00F064BA" w:rsidRPr="00A34360" w:rsidRDefault="00A34360" w:rsidP="00A343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Non-compliant samples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%</w:t>
            </w:r>
          </w:p>
        </w:tc>
      </w:tr>
      <w:tr w:rsidR="00F064BA" w:rsidRPr="00A34360" w14:paraId="25BF0671" w14:textId="77777777" w:rsidTr="00B43DDF">
        <w:trPr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1F5CABF6" w14:textId="6A0DA7BC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Year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413DBCA8" w14:textId="58062A30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Petrol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787B4D06" w14:textId="2A6E9D60" w:rsidR="00F064BA" w:rsidRPr="00A34360" w:rsidRDefault="00A34360" w:rsidP="00A343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Diesel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2D46D0C6" w14:textId="2E06E20D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Diesel fuel blend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*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10C3FD7F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FAME*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49E0A224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LPG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49B910F9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CNG</w:t>
            </w:r>
          </w:p>
          <w:p w14:paraId="5BCD0EC0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964" w:type="dxa"/>
            <w:shd w:val="clear" w:color="auto" w:fill="D9D9D9" w:themeFill="background1" w:themeFillShade="D9"/>
          </w:tcPr>
          <w:p w14:paraId="64BBC3F9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Ethanol* E85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125A1AB3" w14:textId="45C3B640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Total</w:t>
            </w:r>
          </w:p>
        </w:tc>
      </w:tr>
      <w:tr w:rsidR="00F064BA" w:rsidRPr="00A34360" w14:paraId="4F5B42DA" w14:textId="77777777" w:rsidTr="00A34360">
        <w:trPr>
          <w:trHeight w:hRule="exact" w:val="59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2C66E67B" w14:textId="7BFDF510" w:rsidR="00F064BA" w:rsidRPr="00A34360" w:rsidRDefault="00A34360" w:rsidP="00A343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2nd half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of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2001</w:t>
            </w:r>
          </w:p>
        </w:tc>
        <w:tc>
          <w:tcPr>
            <w:tcW w:w="964" w:type="dxa"/>
            <w:shd w:val="clear" w:color="auto" w:fill="D5EFFF"/>
          </w:tcPr>
          <w:p w14:paraId="02A4D6D4" w14:textId="7219F842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</w:p>
        </w:tc>
        <w:tc>
          <w:tcPr>
            <w:tcW w:w="964" w:type="dxa"/>
            <w:shd w:val="clear" w:color="auto" w:fill="FFFF99"/>
          </w:tcPr>
          <w:p w14:paraId="08D223D7" w14:textId="6CD57C6A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15.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</w:t>
            </w:r>
          </w:p>
        </w:tc>
        <w:tc>
          <w:tcPr>
            <w:tcW w:w="964" w:type="dxa"/>
            <w:shd w:val="clear" w:color="auto" w:fill="D5EFFF"/>
          </w:tcPr>
          <w:p w14:paraId="00B591A7" w14:textId="48718E6F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42.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</w:p>
        </w:tc>
        <w:tc>
          <w:tcPr>
            <w:tcW w:w="964" w:type="dxa"/>
            <w:shd w:val="clear" w:color="auto" w:fill="FFFF99"/>
          </w:tcPr>
          <w:p w14:paraId="50A17405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5CECD5E3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964" w:type="dxa"/>
            <w:shd w:val="clear" w:color="auto" w:fill="FFFF99"/>
          </w:tcPr>
          <w:p w14:paraId="04D63D5C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29FCA85F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1003" w:type="dxa"/>
            <w:shd w:val="clear" w:color="auto" w:fill="FFFF99"/>
          </w:tcPr>
          <w:p w14:paraId="5CD415F5" w14:textId="4FA5566C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13.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</w:tr>
      <w:tr w:rsidR="00F064BA" w:rsidRPr="00A34360" w14:paraId="3C22B0D3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7B207FC8" w14:textId="2655696E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Year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2002</w:t>
            </w:r>
          </w:p>
        </w:tc>
        <w:tc>
          <w:tcPr>
            <w:tcW w:w="964" w:type="dxa"/>
            <w:shd w:val="clear" w:color="auto" w:fill="D5EFFF"/>
          </w:tcPr>
          <w:p w14:paraId="28D30CA6" w14:textId="2F5AA8AD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FFFF99"/>
          </w:tcPr>
          <w:p w14:paraId="439912D9" w14:textId="4437AC12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12.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964" w:type="dxa"/>
            <w:shd w:val="clear" w:color="auto" w:fill="D5EFFF"/>
          </w:tcPr>
          <w:p w14:paraId="6274E0CD" w14:textId="2C45A917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27.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</w:p>
        </w:tc>
        <w:tc>
          <w:tcPr>
            <w:tcW w:w="964" w:type="dxa"/>
            <w:shd w:val="clear" w:color="auto" w:fill="FFFF99"/>
          </w:tcPr>
          <w:p w14:paraId="38E10DBC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2CD8C967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964" w:type="dxa"/>
            <w:shd w:val="clear" w:color="auto" w:fill="FFFF99"/>
          </w:tcPr>
          <w:p w14:paraId="13B341AC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5EEB2160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1003" w:type="dxa"/>
            <w:shd w:val="clear" w:color="auto" w:fill="FFFF99"/>
          </w:tcPr>
          <w:p w14:paraId="7D6C3B0F" w14:textId="42AFE366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9.0</w:t>
            </w:r>
          </w:p>
        </w:tc>
      </w:tr>
      <w:tr w:rsidR="00F064BA" w:rsidRPr="00A34360" w14:paraId="65E4F166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19E66A98" w14:textId="4B0EFE49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Year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2003</w:t>
            </w:r>
          </w:p>
        </w:tc>
        <w:tc>
          <w:tcPr>
            <w:tcW w:w="964" w:type="dxa"/>
            <w:shd w:val="clear" w:color="auto" w:fill="D5EFFF"/>
          </w:tcPr>
          <w:p w14:paraId="3793F7D3" w14:textId="4B0A4517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  <w:tc>
          <w:tcPr>
            <w:tcW w:w="964" w:type="dxa"/>
            <w:shd w:val="clear" w:color="auto" w:fill="FFFF99"/>
          </w:tcPr>
          <w:p w14:paraId="429732BE" w14:textId="7BA97F30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13.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  <w:tc>
          <w:tcPr>
            <w:tcW w:w="964" w:type="dxa"/>
            <w:shd w:val="clear" w:color="auto" w:fill="D5EFFF"/>
          </w:tcPr>
          <w:p w14:paraId="3D827BBD" w14:textId="77C6E641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</w:t>
            </w:r>
          </w:p>
        </w:tc>
        <w:tc>
          <w:tcPr>
            <w:tcW w:w="964" w:type="dxa"/>
            <w:shd w:val="clear" w:color="auto" w:fill="FFFF99"/>
          </w:tcPr>
          <w:p w14:paraId="51D1DDE5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7B3A8B08" w14:textId="39EBC987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12.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</w:t>
            </w:r>
          </w:p>
        </w:tc>
        <w:tc>
          <w:tcPr>
            <w:tcW w:w="964" w:type="dxa"/>
            <w:shd w:val="clear" w:color="auto" w:fill="FFFF99"/>
          </w:tcPr>
          <w:p w14:paraId="0FF4A0E1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36CC8BAA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1003" w:type="dxa"/>
            <w:shd w:val="clear" w:color="auto" w:fill="FFFF99"/>
          </w:tcPr>
          <w:p w14:paraId="6016CDE0" w14:textId="55F6D6C4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12.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</w:tr>
      <w:tr w:rsidR="00F064BA" w:rsidRPr="00A34360" w14:paraId="311A4B7A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1B0DCCE5" w14:textId="7F061412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Year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2004</w:t>
            </w:r>
          </w:p>
        </w:tc>
        <w:tc>
          <w:tcPr>
            <w:tcW w:w="964" w:type="dxa"/>
            <w:shd w:val="clear" w:color="auto" w:fill="D5EFFF"/>
          </w:tcPr>
          <w:p w14:paraId="7B7A23D0" w14:textId="2A34CE3C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964" w:type="dxa"/>
            <w:shd w:val="clear" w:color="auto" w:fill="FFFF99"/>
          </w:tcPr>
          <w:p w14:paraId="17BCCC5D" w14:textId="7C5E7E1C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12.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964" w:type="dxa"/>
            <w:shd w:val="clear" w:color="auto" w:fill="D5EFFF"/>
          </w:tcPr>
          <w:p w14:paraId="40F8D18B" w14:textId="5BB2CF8B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14.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964" w:type="dxa"/>
            <w:shd w:val="clear" w:color="auto" w:fill="FFFF99"/>
          </w:tcPr>
          <w:p w14:paraId="248B9F75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1B711CCE" w14:textId="0C28659F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964" w:type="dxa"/>
            <w:shd w:val="clear" w:color="auto" w:fill="FFFF99"/>
          </w:tcPr>
          <w:p w14:paraId="5D6AC162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6389AF6E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1003" w:type="dxa"/>
            <w:shd w:val="clear" w:color="auto" w:fill="FFFF99"/>
          </w:tcPr>
          <w:p w14:paraId="341BFF34" w14:textId="69BC4301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</w:p>
        </w:tc>
      </w:tr>
      <w:tr w:rsidR="00F064BA" w:rsidRPr="00A34360" w14:paraId="6702C52D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58CE5C23" w14:textId="680F3190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Year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2005</w:t>
            </w:r>
          </w:p>
        </w:tc>
        <w:tc>
          <w:tcPr>
            <w:tcW w:w="964" w:type="dxa"/>
            <w:shd w:val="clear" w:color="auto" w:fill="D5EFFF"/>
          </w:tcPr>
          <w:p w14:paraId="7FB19C3A" w14:textId="4F5B835A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964" w:type="dxa"/>
            <w:shd w:val="clear" w:color="auto" w:fill="FFFF99"/>
          </w:tcPr>
          <w:p w14:paraId="5BC36464" w14:textId="428C9A90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</w:t>
            </w:r>
          </w:p>
        </w:tc>
        <w:tc>
          <w:tcPr>
            <w:tcW w:w="964" w:type="dxa"/>
            <w:shd w:val="clear" w:color="auto" w:fill="D5EFFF"/>
          </w:tcPr>
          <w:p w14:paraId="71EF2BF6" w14:textId="7F399340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964" w:type="dxa"/>
            <w:shd w:val="clear" w:color="auto" w:fill="FFFF99"/>
          </w:tcPr>
          <w:p w14:paraId="7F768230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006D552A" w14:textId="1DA61E4C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964" w:type="dxa"/>
            <w:shd w:val="clear" w:color="auto" w:fill="FFFF99"/>
          </w:tcPr>
          <w:p w14:paraId="7D68EB1F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3D10ED50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1003" w:type="dxa"/>
            <w:shd w:val="clear" w:color="auto" w:fill="FFFF99"/>
          </w:tcPr>
          <w:p w14:paraId="4D6CEE67" w14:textId="0CE6A8B0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</w:tr>
      <w:tr w:rsidR="00F064BA" w:rsidRPr="00A34360" w14:paraId="0E57F164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70532E6E" w14:textId="599492DB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Year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2006</w:t>
            </w:r>
          </w:p>
        </w:tc>
        <w:tc>
          <w:tcPr>
            <w:tcW w:w="964" w:type="dxa"/>
            <w:shd w:val="clear" w:color="auto" w:fill="D5EFFF"/>
          </w:tcPr>
          <w:p w14:paraId="42291F0F" w14:textId="56A11E1A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  <w:tc>
          <w:tcPr>
            <w:tcW w:w="964" w:type="dxa"/>
            <w:shd w:val="clear" w:color="auto" w:fill="FFFF99"/>
          </w:tcPr>
          <w:p w14:paraId="3E9947E8" w14:textId="2449A5A6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</w:t>
            </w:r>
          </w:p>
        </w:tc>
        <w:tc>
          <w:tcPr>
            <w:tcW w:w="964" w:type="dxa"/>
            <w:shd w:val="clear" w:color="auto" w:fill="D5EFFF"/>
          </w:tcPr>
          <w:p w14:paraId="196877BC" w14:textId="6765D9E0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17.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964" w:type="dxa"/>
            <w:shd w:val="clear" w:color="auto" w:fill="FFFF99"/>
          </w:tcPr>
          <w:p w14:paraId="57C622B7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672EA1E4" w14:textId="1A08B6AE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FFFF99"/>
          </w:tcPr>
          <w:p w14:paraId="030598C0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08C1A6F7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1003" w:type="dxa"/>
            <w:shd w:val="clear" w:color="auto" w:fill="FFFF99"/>
          </w:tcPr>
          <w:p w14:paraId="082F0177" w14:textId="49CCCF54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</w:t>
            </w:r>
          </w:p>
        </w:tc>
      </w:tr>
      <w:tr w:rsidR="00F064BA" w:rsidRPr="00A34360" w14:paraId="5C4676DF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5ED43244" w14:textId="360CF5A6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Year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2007</w:t>
            </w:r>
          </w:p>
        </w:tc>
        <w:tc>
          <w:tcPr>
            <w:tcW w:w="964" w:type="dxa"/>
            <w:shd w:val="clear" w:color="auto" w:fill="D5EFFF"/>
          </w:tcPr>
          <w:p w14:paraId="0D9942B5" w14:textId="2B0D74D8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964" w:type="dxa"/>
            <w:shd w:val="clear" w:color="auto" w:fill="FFFF99"/>
          </w:tcPr>
          <w:p w14:paraId="4BA0D1BA" w14:textId="70BEF4A7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  <w:tc>
          <w:tcPr>
            <w:tcW w:w="964" w:type="dxa"/>
            <w:shd w:val="clear" w:color="auto" w:fill="D5EFFF"/>
          </w:tcPr>
          <w:p w14:paraId="739A9A58" w14:textId="4F260E59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46.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</w:p>
        </w:tc>
        <w:tc>
          <w:tcPr>
            <w:tcW w:w="964" w:type="dxa"/>
            <w:shd w:val="clear" w:color="auto" w:fill="FFFF99"/>
          </w:tcPr>
          <w:p w14:paraId="0D2010A4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222B21FF" w14:textId="6892C1AE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FFFF99"/>
          </w:tcPr>
          <w:p w14:paraId="6BC3F2E0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574960E7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1003" w:type="dxa"/>
            <w:shd w:val="clear" w:color="auto" w:fill="FFFF99"/>
          </w:tcPr>
          <w:p w14:paraId="35175C8E" w14:textId="6FF6D471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</w:p>
        </w:tc>
      </w:tr>
      <w:tr w:rsidR="00F064BA" w:rsidRPr="00A34360" w14:paraId="7A2A1CB1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164B2733" w14:textId="5D17301F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Year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2008</w:t>
            </w:r>
          </w:p>
        </w:tc>
        <w:tc>
          <w:tcPr>
            <w:tcW w:w="964" w:type="dxa"/>
            <w:shd w:val="clear" w:color="auto" w:fill="D5EFFF"/>
          </w:tcPr>
          <w:p w14:paraId="5C2B8F5D" w14:textId="4C7192FF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</w:t>
            </w:r>
          </w:p>
        </w:tc>
        <w:tc>
          <w:tcPr>
            <w:tcW w:w="964" w:type="dxa"/>
            <w:shd w:val="clear" w:color="auto" w:fill="FFFF99"/>
          </w:tcPr>
          <w:p w14:paraId="0E27D9B3" w14:textId="73487571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</w:t>
            </w:r>
          </w:p>
        </w:tc>
        <w:tc>
          <w:tcPr>
            <w:tcW w:w="964" w:type="dxa"/>
            <w:shd w:val="clear" w:color="auto" w:fill="D5EFFF"/>
          </w:tcPr>
          <w:p w14:paraId="29D7659F" w14:textId="74FCDCC7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66.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</w:p>
        </w:tc>
        <w:tc>
          <w:tcPr>
            <w:tcW w:w="964" w:type="dxa"/>
            <w:shd w:val="clear" w:color="auto" w:fill="FFFF99"/>
          </w:tcPr>
          <w:p w14:paraId="47624413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1FDA7967" w14:textId="0D29EE18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FFFF99"/>
          </w:tcPr>
          <w:p w14:paraId="1B70187F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36687CD4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1003" w:type="dxa"/>
            <w:shd w:val="clear" w:color="auto" w:fill="FFFF99"/>
          </w:tcPr>
          <w:p w14:paraId="6189AFCC" w14:textId="6D176190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</w:p>
        </w:tc>
      </w:tr>
      <w:tr w:rsidR="00F064BA" w:rsidRPr="00A34360" w14:paraId="4D2372BD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3C9BAE9B" w14:textId="10BF150A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Year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2009</w:t>
            </w:r>
          </w:p>
        </w:tc>
        <w:tc>
          <w:tcPr>
            <w:tcW w:w="964" w:type="dxa"/>
            <w:shd w:val="clear" w:color="auto" w:fill="D5EFFF"/>
          </w:tcPr>
          <w:p w14:paraId="3B865756" w14:textId="2E9B892D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964" w:type="dxa"/>
            <w:shd w:val="clear" w:color="auto" w:fill="FFFF99"/>
          </w:tcPr>
          <w:p w14:paraId="2BD14EB7" w14:textId="47BCFEDE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</w:t>
            </w:r>
          </w:p>
        </w:tc>
        <w:tc>
          <w:tcPr>
            <w:tcW w:w="964" w:type="dxa"/>
            <w:shd w:val="clear" w:color="auto" w:fill="D5EFFF"/>
          </w:tcPr>
          <w:p w14:paraId="17C59F78" w14:textId="5B14484F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FFFF99"/>
          </w:tcPr>
          <w:p w14:paraId="13838208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372032AA" w14:textId="20B8B717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964" w:type="dxa"/>
            <w:shd w:val="clear" w:color="auto" w:fill="FFFF99"/>
          </w:tcPr>
          <w:p w14:paraId="694481B7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964" w:type="dxa"/>
            <w:shd w:val="clear" w:color="auto" w:fill="D5EFFF"/>
          </w:tcPr>
          <w:p w14:paraId="04314125" w14:textId="77777777" w:rsidR="00F064BA" w:rsidRPr="00A34360" w:rsidRDefault="00F064BA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</w:p>
        </w:tc>
        <w:tc>
          <w:tcPr>
            <w:tcW w:w="1003" w:type="dxa"/>
            <w:shd w:val="clear" w:color="auto" w:fill="FFFF99"/>
          </w:tcPr>
          <w:p w14:paraId="709CDEFD" w14:textId="7C6313EB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</w:tr>
      <w:tr w:rsidR="00F064BA" w:rsidRPr="00A34360" w14:paraId="2B786FCD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63F5ACFA" w14:textId="71144828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Year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2010</w:t>
            </w:r>
          </w:p>
        </w:tc>
        <w:tc>
          <w:tcPr>
            <w:tcW w:w="964" w:type="dxa"/>
            <w:shd w:val="clear" w:color="auto" w:fill="D5EFFF"/>
          </w:tcPr>
          <w:p w14:paraId="62F9D75F" w14:textId="436A5501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</w:p>
        </w:tc>
        <w:tc>
          <w:tcPr>
            <w:tcW w:w="964" w:type="dxa"/>
            <w:shd w:val="clear" w:color="auto" w:fill="FFFF99"/>
          </w:tcPr>
          <w:p w14:paraId="25C84E93" w14:textId="6307A972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</w:p>
        </w:tc>
        <w:tc>
          <w:tcPr>
            <w:tcW w:w="964" w:type="dxa"/>
            <w:shd w:val="clear" w:color="auto" w:fill="D5EFFF"/>
          </w:tcPr>
          <w:p w14:paraId="107B28EF" w14:textId="69A3A81A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23.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</w:t>
            </w:r>
          </w:p>
        </w:tc>
        <w:tc>
          <w:tcPr>
            <w:tcW w:w="964" w:type="dxa"/>
            <w:shd w:val="clear" w:color="auto" w:fill="FFFF99"/>
          </w:tcPr>
          <w:p w14:paraId="5FDE0FE5" w14:textId="2A9C98E3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25.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D5EFFF"/>
          </w:tcPr>
          <w:p w14:paraId="6514B16F" w14:textId="7033DAD7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964" w:type="dxa"/>
            <w:shd w:val="clear" w:color="auto" w:fill="FFFF99"/>
          </w:tcPr>
          <w:p w14:paraId="65E7E915" w14:textId="2BF6B8FC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D5EFFF"/>
          </w:tcPr>
          <w:p w14:paraId="0CE5AAD7" w14:textId="33429559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65.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1003" w:type="dxa"/>
            <w:shd w:val="clear" w:color="auto" w:fill="FFFF99"/>
          </w:tcPr>
          <w:p w14:paraId="61D7B645" w14:textId="7C06057F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</w:t>
            </w:r>
          </w:p>
        </w:tc>
      </w:tr>
      <w:tr w:rsidR="00F064BA" w:rsidRPr="00A34360" w14:paraId="5550590F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4665D32E" w14:textId="3AF201FA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Year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2011</w:t>
            </w:r>
          </w:p>
        </w:tc>
        <w:tc>
          <w:tcPr>
            <w:tcW w:w="964" w:type="dxa"/>
            <w:shd w:val="clear" w:color="auto" w:fill="D5EFFF"/>
          </w:tcPr>
          <w:p w14:paraId="4B635F08" w14:textId="6CACB4B4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964" w:type="dxa"/>
            <w:shd w:val="clear" w:color="auto" w:fill="FFFF99"/>
          </w:tcPr>
          <w:p w14:paraId="3E418F25" w14:textId="72F18F10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D5EFFF"/>
          </w:tcPr>
          <w:p w14:paraId="741D6517" w14:textId="0E21D2D5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17.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</w:p>
        </w:tc>
        <w:tc>
          <w:tcPr>
            <w:tcW w:w="964" w:type="dxa"/>
            <w:shd w:val="clear" w:color="auto" w:fill="FFFF99"/>
          </w:tcPr>
          <w:p w14:paraId="26BC1DB7" w14:textId="2FD8938C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17.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  <w:tc>
          <w:tcPr>
            <w:tcW w:w="964" w:type="dxa"/>
            <w:shd w:val="clear" w:color="auto" w:fill="D5EFFF"/>
          </w:tcPr>
          <w:p w14:paraId="19CCC0C9" w14:textId="56B00936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FFFF99"/>
          </w:tcPr>
          <w:p w14:paraId="5F0CA78C" w14:textId="5466AAA2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D5EFFF"/>
          </w:tcPr>
          <w:p w14:paraId="03849F79" w14:textId="097EDBAD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21.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</w:p>
        </w:tc>
        <w:tc>
          <w:tcPr>
            <w:tcW w:w="1003" w:type="dxa"/>
            <w:shd w:val="clear" w:color="auto" w:fill="FFFF99"/>
          </w:tcPr>
          <w:p w14:paraId="11E690DE" w14:textId="3DC96D9E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</w:tr>
      <w:tr w:rsidR="00F064BA" w:rsidRPr="00A34360" w14:paraId="51E00199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06756813" w14:textId="2335BECA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Year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2012</w:t>
            </w:r>
          </w:p>
        </w:tc>
        <w:tc>
          <w:tcPr>
            <w:tcW w:w="964" w:type="dxa"/>
            <w:shd w:val="clear" w:color="auto" w:fill="D5EFFF"/>
          </w:tcPr>
          <w:p w14:paraId="61264949" w14:textId="2277162C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</w:t>
            </w:r>
          </w:p>
        </w:tc>
        <w:tc>
          <w:tcPr>
            <w:tcW w:w="964" w:type="dxa"/>
            <w:shd w:val="clear" w:color="auto" w:fill="FFFF99"/>
          </w:tcPr>
          <w:p w14:paraId="14D6720E" w14:textId="2D355E89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D5EFFF"/>
          </w:tcPr>
          <w:p w14:paraId="01E23238" w14:textId="263E25E8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18.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964" w:type="dxa"/>
            <w:shd w:val="clear" w:color="auto" w:fill="FFFF99"/>
          </w:tcPr>
          <w:p w14:paraId="5DAD4B7C" w14:textId="4884A98E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</w:t>
            </w:r>
          </w:p>
        </w:tc>
        <w:tc>
          <w:tcPr>
            <w:tcW w:w="964" w:type="dxa"/>
            <w:shd w:val="clear" w:color="auto" w:fill="D5EFFF"/>
          </w:tcPr>
          <w:p w14:paraId="5C35B647" w14:textId="670DE9E5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</w:p>
        </w:tc>
        <w:tc>
          <w:tcPr>
            <w:tcW w:w="964" w:type="dxa"/>
            <w:shd w:val="clear" w:color="auto" w:fill="FFFF99"/>
          </w:tcPr>
          <w:p w14:paraId="139EB7A9" w14:textId="1B824E0D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D5EFFF"/>
          </w:tcPr>
          <w:p w14:paraId="4AF87728" w14:textId="3D685341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1003" w:type="dxa"/>
            <w:shd w:val="clear" w:color="auto" w:fill="FFFF99"/>
          </w:tcPr>
          <w:p w14:paraId="39000C2E" w14:textId="1DB6AB8F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</w:tr>
      <w:tr w:rsidR="00F064BA" w:rsidRPr="00A34360" w14:paraId="3BB4FE5E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19AA2FF6" w14:textId="70094478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Year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2013</w:t>
            </w:r>
          </w:p>
        </w:tc>
        <w:tc>
          <w:tcPr>
            <w:tcW w:w="964" w:type="dxa"/>
            <w:shd w:val="clear" w:color="auto" w:fill="D5EFFF"/>
          </w:tcPr>
          <w:p w14:paraId="30FEC0FE" w14:textId="6A4E2C3F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964" w:type="dxa"/>
            <w:shd w:val="clear" w:color="auto" w:fill="FFFF99"/>
          </w:tcPr>
          <w:p w14:paraId="383E94D5" w14:textId="649065C0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964" w:type="dxa"/>
            <w:shd w:val="clear" w:color="auto" w:fill="D5EFFF"/>
          </w:tcPr>
          <w:p w14:paraId="53E090EF" w14:textId="27A5D88E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FFFF99"/>
          </w:tcPr>
          <w:p w14:paraId="69250DB1" w14:textId="76CAAB1A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</w:t>
            </w:r>
          </w:p>
        </w:tc>
        <w:tc>
          <w:tcPr>
            <w:tcW w:w="964" w:type="dxa"/>
            <w:shd w:val="clear" w:color="auto" w:fill="D5EFFF"/>
          </w:tcPr>
          <w:p w14:paraId="4D8B3C95" w14:textId="430BD0E7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964" w:type="dxa"/>
            <w:shd w:val="clear" w:color="auto" w:fill="FFFF99"/>
          </w:tcPr>
          <w:p w14:paraId="719FEE93" w14:textId="7C793361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D5EFFF"/>
          </w:tcPr>
          <w:p w14:paraId="1F90846D" w14:textId="7976C0EB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1003" w:type="dxa"/>
            <w:shd w:val="clear" w:color="auto" w:fill="FFFF99"/>
          </w:tcPr>
          <w:p w14:paraId="0635095E" w14:textId="3E63FD35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</w:t>
            </w:r>
          </w:p>
        </w:tc>
      </w:tr>
      <w:tr w:rsidR="00F064BA" w:rsidRPr="00A34360" w14:paraId="06595828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298F1DDD" w14:textId="17B9076A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Year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2014</w:t>
            </w:r>
          </w:p>
        </w:tc>
        <w:tc>
          <w:tcPr>
            <w:tcW w:w="964" w:type="dxa"/>
            <w:shd w:val="clear" w:color="auto" w:fill="D5EFFF"/>
          </w:tcPr>
          <w:p w14:paraId="72796639" w14:textId="3006A47A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</w:t>
            </w:r>
          </w:p>
        </w:tc>
        <w:tc>
          <w:tcPr>
            <w:tcW w:w="964" w:type="dxa"/>
            <w:shd w:val="clear" w:color="auto" w:fill="FFFF99"/>
          </w:tcPr>
          <w:p w14:paraId="365388BA" w14:textId="3E211B31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964" w:type="dxa"/>
            <w:shd w:val="clear" w:color="auto" w:fill="D5EFFF"/>
          </w:tcPr>
          <w:p w14:paraId="3DB11053" w14:textId="4B07D61E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964" w:type="dxa"/>
            <w:shd w:val="clear" w:color="auto" w:fill="FFFF99"/>
          </w:tcPr>
          <w:p w14:paraId="4CCC284D" w14:textId="0C0CFE34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13.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964" w:type="dxa"/>
            <w:shd w:val="clear" w:color="auto" w:fill="D5EFFF"/>
          </w:tcPr>
          <w:p w14:paraId="4F32FE3E" w14:textId="47D82B32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12.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964" w:type="dxa"/>
            <w:shd w:val="clear" w:color="auto" w:fill="FFFF99"/>
          </w:tcPr>
          <w:p w14:paraId="72507C6B" w14:textId="7FB19583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D5EFFF"/>
          </w:tcPr>
          <w:p w14:paraId="14C2044B" w14:textId="3FA0C5DA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1003" w:type="dxa"/>
            <w:shd w:val="clear" w:color="auto" w:fill="FFFF99"/>
          </w:tcPr>
          <w:p w14:paraId="722B689E" w14:textId="13F9776A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</w:tr>
      <w:tr w:rsidR="00F064BA" w:rsidRPr="00A34360" w14:paraId="6549AA89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2C97B998" w14:textId="25AE5A86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Year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2015</w:t>
            </w:r>
          </w:p>
        </w:tc>
        <w:tc>
          <w:tcPr>
            <w:tcW w:w="964" w:type="dxa"/>
            <w:shd w:val="clear" w:color="auto" w:fill="D5EFFF"/>
          </w:tcPr>
          <w:p w14:paraId="53B7C57F" w14:textId="5EA3CEC0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964" w:type="dxa"/>
            <w:shd w:val="clear" w:color="auto" w:fill="FFFF99"/>
          </w:tcPr>
          <w:p w14:paraId="4C208BB4" w14:textId="47317455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6</w:t>
            </w:r>
          </w:p>
        </w:tc>
        <w:tc>
          <w:tcPr>
            <w:tcW w:w="964" w:type="dxa"/>
            <w:shd w:val="clear" w:color="auto" w:fill="D5EFFF"/>
          </w:tcPr>
          <w:p w14:paraId="179C47D1" w14:textId="3B38EB96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964" w:type="dxa"/>
            <w:shd w:val="clear" w:color="auto" w:fill="FFFF99"/>
          </w:tcPr>
          <w:p w14:paraId="617BE514" w14:textId="20737910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964" w:type="dxa"/>
            <w:shd w:val="clear" w:color="auto" w:fill="D5EFFF"/>
          </w:tcPr>
          <w:p w14:paraId="69102D65" w14:textId="5BD109ED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964" w:type="dxa"/>
            <w:shd w:val="clear" w:color="auto" w:fill="FFFF99"/>
          </w:tcPr>
          <w:p w14:paraId="2CAA6292" w14:textId="77AD97F6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D5EFFF"/>
          </w:tcPr>
          <w:p w14:paraId="1F943D94" w14:textId="3549624E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11.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1003" w:type="dxa"/>
            <w:shd w:val="clear" w:color="auto" w:fill="FFFF99"/>
          </w:tcPr>
          <w:p w14:paraId="150B15A2" w14:textId="2785E436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</w:tr>
      <w:tr w:rsidR="00F064BA" w:rsidRPr="00A34360" w14:paraId="4114CECA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56203CEF" w14:textId="4A43E835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Year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2016</w:t>
            </w:r>
          </w:p>
        </w:tc>
        <w:tc>
          <w:tcPr>
            <w:tcW w:w="964" w:type="dxa"/>
            <w:shd w:val="clear" w:color="auto" w:fill="D5EFFF"/>
          </w:tcPr>
          <w:p w14:paraId="2DCE7DA2" w14:textId="25D3D7D7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</w:p>
        </w:tc>
        <w:tc>
          <w:tcPr>
            <w:tcW w:w="964" w:type="dxa"/>
            <w:shd w:val="clear" w:color="auto" w:fill="FFFF99"/>
          </w:tcPr>
          <w:p w14:paraId="65B67D66" w14:textId="13B5D7CF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  <w:tc>
          <w:tcPr>
            <w:tcW w:w="964" w:type="dxa"/>
            <w:shd w:val="clear" w:color="auto" w:fill="D5EFFF"/>
          </w:tcPr>
          <w:p w14:paraId="24F5B22F" w14:textId="25061F20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</w:p>
        </w:tc>
        <w:tc>
          <w:tcPr>
            <w:tcW w:w="964" w:type="dxa"/>
            <w:shd w:val="clear" w:color="auto" w:fill="FFFF99"/>
          </w:tcPr>
          <w:p w14:paraId="00C17FC8" w14:textId="05F33BD3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14.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964" w:type="dxa"/>
            <w:shd w:val="clear" w:color="auto" w:fill="D5EFFF"/>
          </w:tcPr>
          <w:p w14:paraId="1A4FD2CE" w14:textId="1B199F9B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964" w:type="dxa"/>
            <w:shd w:val="clear" w:color="auto" w:fill="FFFF99"/>
          </w:tcPr>
          <w:p w14:paraId="0356F6B1" w14:textId="64C2628F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D5EFFF"/>
          </w:tcPr>
          <w:p w14:paraId="3A4298B7" w14:textId="758BCA56" w:rsidR="00F064BA" w:rsidRPr="00A34360" w:rsidRDefault="00F064BA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14</w:t>
            </w:r>
            <w:r w:rsidR="00A34360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1003" w:type="dxa"/>
            <w:shd w:val="clear" w:color="auto" w:fill="FFFF99"/>
          </w:tcPr>
          <w:p w14:paraId="27E96D5A" w14:textId="1B965508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</w:tr>
      <w:tr w:rsidR="00F064BA" w:rsidRPr="00A34360" w14:paraId="3536CCEB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564E04F5" w14:textId="13A0D724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Year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2017</w:t>
            </w:r>
          </w:p>
        </w:tc>
        <w:tc>
          <w:tcPr>
            <w:tcW w:w="964" w:type="dxa"/>
            <w:shd w:val="clear" w:color="auto" w:fill="D5EFFF"/>
          </w:tcPr>
          <w:p w14:paraId="0A210239" w14:textId="2DABB1C9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964" w:type="dxa"/>
            <w:shd w:val="clear" w:color="auto" w:fill="FFFF99"/>
          </w:tcPr>
          <w:p w14:paraId="2F5F08AB" w14:textId="10562604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</w:t>
            </w:r>
          </w:p>
        </w:tc>
        <w:tc>
          <w:tcPr>
            <w:tcW w:w="964" w:type="dxa"/>
            <w:shd w:val="clear" w:color="auto" w:fill="D5EFFF"/>
          </w:tcPr>
          <w:p w14:paraId="6BDC584B" w14:textId="5983A9D6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FFFF99"/>
          </w:tcPr>
          <w:p w14:paraId="7F341CB8" w14:textId="22C577E0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D5EFFF"/>
          </w:tcPr>
          <w:p w14:paraId="0D3EB935" w14:textId="56D0D80F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964" w:type="dxa"/>
            <w:shd w:val="clear" w:color="auto" w:fill="FFFF99"/>
          </w:tcPr>
          <w:p w14:paraId="3A53CB32" w14:textId="472FEF66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D5EFFF"/>
          </w:tcPr>
          <w:p w14:paraId="3BA705B2" w14:textId="1008A1E9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1003" w:type="dxa"/>
            <w:shd w:val="clear" w:color="auto" w:fill="FFFF99"/>
          </w:tcPr>
          <w:p w14:paraId="119250EA" w14:textId="1965BD6A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</w:tr>
      <w:tr w:rsidR="00F064BA" w:rsidRPr="00A34360" w14:paraId="18D0DF73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126017C9" w14:textId="3253F43B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Year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2018</w:t>
            </w:r>
          </w:p>
        </w:tc>
        <w:tc>
          <w:tcPr>
            <w:tcW w:w="964" w:type="dxa"/>
            <w:shd w:val="clear" w:color="auto" w:fill="D5EFFF"/>
          </w:tcPr>
          <w:p w14:paraId="0B7D2748" w14:textId="67FC7215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</w:t>
            </w:r>
          </w:p>
        </w:tc>
        <w:tc>
          <w:tcPr>
            <w:tcW w:w="964" w:type="dxa"/>
            <w:shd w:val="clear" w:color="auto" w:fill="FFFF99"/>
          </w:tcPr>
          <w:p w14:paraId="5B589D8B" w14:textId="00ED1D32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</w:p>
        </w:tc>
        <w:tc>
          <w:tcPr>
            <w:tcW w:w="964" w:type="dxa"/>
            <w:shd w:val="clear" w:color="auto" w:fill="D5EFFF"/>
          </w:tcPr>
          <w:p w14:paraId="71A0B3A9" w14:textId="32B82C79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FFFF99"/>
          </w:tcPr>
          <w:p w14:paraId="3D195640" w14:textId="19B2EB78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D5EFFF"/>
          </w:tcPr>
          <w:p w14:paraId="100EB8D5" w14:textId="3DCE0EBC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FFFF99"/>
          </w:tcPr>
          <w:p w14:paraId="1FD58638" w14:textId="5C1B4E26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D5EFFF"/>
          </w:tcPr>
          <w:p w14:paraId="5D8AC6B8" w14:textId="57E51DE2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1003" w:type="dxa"/>
            <w:shd w:val="clear" w:color="auto" w:fill="FFFF99"/>
          </w:tcPr>
          <w:p w14:paraId="2FF65969" w14:textId="2EE58B9D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</w:tr>
      <w:tr w:rsidR="00F064BA" w:rsidRPr="00A34360" w14:paraId="7188844B" w14:textId="77777777" w:rsidTr="00B43DDF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2018EB23" w14:textId="354A503B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Year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2019</w:t>
            </w:r>
          </w:p>
        </w:tc>
        <w:tc>
          <w:tcPr>
            <w:tcW w:w="964" w:type="dxa"/>
            <w:shd w:val="clear" w:color="auto" w:fill="D5EFFF"/>
          </w:tcPr>
          <w:p w14:paraId="77016591" w14:textId="19EF4C7A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964" w:type="dxa"/>
            <w:shd w:val="clear" w:color="auto" w:fill="FFFF99"/>
          </w:tcPr>
          <w:p w14:paraId="0BA2734D" w14:textId="18734D48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D5EFFF"/>
          </w:tcPr>
          <w:p w14:paraId="722DFBC1" w14:textId="26365B09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FFFF99"/>
          </w:tcPr>
          <w:p w14:paraId="69201073" w14:textId="70673214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D5EFFF"/>
          </w:tcPr>
          <w:p w14:paraId="0E23F701" w14:textId="2367CE0C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964" w:type="dxa"/>
            <w:shd w:val="clear" w:color="auto" w:fill="FFFF99"/>
          </w:tcPr>
          <w:p w14:paraId="14C79212" w14:textId="2879E0CF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D5EFFF"/>
          </w:tcPr>
          <w:p w14:paraId="473B7290" w14:textId="551F2A34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1003" w:type="dxa"/>
            <w:shd w:val="clear" w:color="auto" w:fill="FFFF99"/>
          </w:tcPr>
          <w:p w14:paraId="4EA6D6BA" w14:textId="0A91F881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7</w:t>
            </w:r>
          </w:p>
        </w:tc>
      </w:tr>
      <w:tr w:rsidR="00F064BA" w:rsidRPr="00A34360" w14:paraId="4C7AA101" w14:textId="77777777" w:rsidTr="00A34360">
        <w:trPr>
          <w:trHeight w:hRule="exact" w:val="436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1D483293" w14:textId="0F3445C5" w:rsidR="00F064BA" w:rsidRPr="00A34360" w:rsidRDefault="00A34360" w:rsidP="00B43D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Year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2020</w:t>
            </w:r>
          </w:p>
        </w:tc>
        <w:tc>
          <w:tcPr>
            <w:tcW w:w="964" w:type="dxa"/>
            <w:shd w:val="clear" w:color="auto" w:fill="D5EFFF"/>
          </w:tcPr>
          <w:p w14:paraId="75C8F8A8" w14:textId="5AE72CE3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964" w:type="dxa"/>
            <w:shd w:val="clear" w:color="auto" w:fill="FFFF99"/>
          </w:tcPr>
          <w:p w14:paraId="39F83B45" w14:textId="137A0E66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8</w:t>
            </w:r>
          </w:p>
        </w:tc>
        <w:tc>
          <w:tcPr>
            <w:tcW w:w="964" w:type="dxa"/>
            <w:shd w:val="clear" w:color="auto" w:fill="D5EFFF"/>
          </w:tcPr>
          <w:p w14:paraId="030691D3" w14:textId="1E858ACE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FFFF99"/>
          </w:tcPr>
          <w:p w14:paraId="2E14F145" w14:textId="47A9E638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D5EFFF"/>
          </w:tcPr>
          <w:p w14:paraId="74789E96" w14:textId="5CB19061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FFFF99"/>
          </w:tcPr>
          <w:p w14:paraId="5268CC03" w14:textId="258D7A8D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964" w:type="dxa"/>
            <w:shd w:val="clear" w:color="auto" w:fill="D5EFFF"/>
          </w:tcPr>
          <w:p w14:paraId="1967821C" w14:textId="667E816A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12.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1003" w:type="dxa"/>
            <w:shd w:val="clear" w:color="auto" w:fill="FFFF99"/>
          </w:tcPr>
          <w:p w14:paraId="32F718AE" w14:textId="259886F7" w:rsidR="00F064BA" w:rsidRPr="00A34360" w:rsidRDefault="00A34360" w:rsidP="00B43D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0.</w:t>
            </w:r>
            <w:r w:rsidR="00F064BA" w:rsidRPr="00A3436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</w:t>
            </w:r>
          </w:p>
        </w:tc>
      </w:tr>
    </w:tbl>
    <w:p w14:paraId="6B09B926" w14:textId="7F3EC413" w:rsidR="00A34360" w:rsidRPr="00A34360" w:rsidRDefault="00A34360" w:rsidP="00A34360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A34360">
        <w:rPr>
          <w:rFonts w:asciiTheme="minorHAnsi" w:hAnsiTheme="minorHAnsi" w:cstheme="minorHAnsi"/>
          <w:sz w:val="22"/>
          <w:szCs w:val="22"/>
          <w:lang w:val="en-GB"/>
        </w:rPr>
        <w:t>* the</w:t>
      </w:r>
      <w:r w:rsidRPr="00A34360">
        <w:rPr>
          <w:rFonts w:asciiTheme="minorHAnsi" w:hAnsiTheme="minorHAnsi" w:cstheme="minorHAnsi"/>
          <w:sz w:val="22"/>
          <w:szCs w:val="22"/>
          <w:lang w:val="en-GB"/>
        </w:rPr>
        <w:t xml:space="preserve"> higher % of non-compliant samples for fuels labelled </w:t>
      </w:r>
      <w:r w:rsidRPr="00A34360">
        <w:rPr>
          <w:rFonts w:asciiTheme="minorHAnsi" w:hAnsiTheme="minorHAnsi" w:cstheme="minorHAnsi"/>
          <w:sz w:val="22"/>
          <w:szCs w:val="22"/>
          <w:lang w:val="en-GB"/>
        </w:rPr>
        <w:t xml:space="preserve">with the star this way </w:t>
      </w:r>
      <w:r w:rsidRPr="00A34360">
        <w:rPr>
          <w:rFonts w:asciiTheme="minorHAnsi" w:hAnsiTheme="minorHAnsi" w:cstheme="minorHAnsi"/>
          <w:sz w:val="22"/>
          <w:szCs w:val="22"/>
          <w:lang w:val="en-GB"/>
        </w:rPr>
        <w:t xml:space="preserve">is affected by the cancellation of sales of these fuels at </w:t>
      </w:r>
      <w:r w:rsidRPr="00A34360">
        <w:rPr>
          <w:rFonts w:asciiTheme="minorHAnsi" w:hAnsiTheme="minorHAnsi" w:cstheme="minorHAnsi"/>
          <w:sz w:val="22"/>
          <w:szCs w:val="22"/>
          <w:lang w:val="en-GB"/>
        </w:rPr>
        <w:t>filling</w:t>
      </w:r>
      <w:r w:rsidRPr="00A34360">
        <w:rPr>
          <w:rFonts w:asciiTheme="minorHAnsi" w:hAnsiTheme="minorHAnsi" w:cstheme="minorHAnsi"/>
          <w:sz w:val="22"/>
          <w:szCs w:val="22"/>
          <w:lang w:val="en-GB"/>
        </w:rPr>
        <w:t xml:space="preserve"> stations and thus by the low number of samples taken and tested.</w:t>
      </w:r>
    </w:p>
    <w:p w14:paraId="6F10CF7A" w14:textId="77777777" w:rsidR="00A34360" w:rsidRPr="00A34360" w:rsidRDefault="00A34360" w:rsidP="00A34360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35352784" w14:textId="25F508FC" w:rsidR="006535ED" w:rsidRPr="00A34360" w:rsidRDefault="00A34360" w:rsidP="00A34360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A34360">
        <w:rPr>
          <w:rFonts w:asciiTheme="minorHAnsi" w:hAnsiTheme="minorHAnsi" w:cstheme="minorHAnsi"/>
          <w:b/>
          <w:sz w:val="22"/>
          <w:szCs w:val="22"/>
          <w:lang w:val="en-GB"/>
        </w:rPr>
        <w:t xml:space="preserve">Development of fuel quality in year-on-year comparison – column chart in </w:t>
      </w:r>
      <w:proofErr w:type="gramStart"/>
      <w:r w:rsidRPr="00A34360">
        <w:rPr>
          <w:rFonts w:asciiTheme="minorHAnsi" w:hAnsiTheme="minorHAnsi" w:cstheme="minorHAnsi"/>
          <w:b/>
          <w:sz w:val="22"/>
          <w:szCs w:val="22"/>
          <w:lang w:val="en-GB"/>
        </w:rPr>
        <w:t>%</w:t>
      </w:r>
      <w:proofErr w:type="gramEnd"/>
      <w:r w:rsidRPr="00A34360">
        <w:rPr>
          <w:rFonts w:asciiTheme="minorHAnsi" w:hAnsiTheme="minorHAnsi" w:cstheme="minorHAnsi"/>
          <w:b/>
          <w:sz w:val="22"/>
          <w:szCs w:val="22"/>
          <w:lang w:val="en-GB"/>
        </w:rPr>
        <w:t>:</w:t>
      </w:r>
    </w:p>
    <w:p w14:paraId="1922B1E8" w14:textId="77777777" w:rsidR="00F064BA" w:rsidRPr="00A34360" w:rsidRDefault="00F064BA" w:rsidP="00F064BA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A34360">
        <w:rPr>
          <w:rFonts w:asciiTheme="minorHAnsi" w:hAnsiTheme="minorHAnsi" w:cstheme="minorHAnsi"/>
          <w:noProof/>
          <w:sz w:val="22"/>
          <w:szCs w:val="22"/>
          <w:lang w:val="en-GB"/>
        </w:rPr>
        <w:drawing>
          <wp:inline distT="0" distB="0" distL="0" distR="0" wp14:anchorId="72603117" wp14:editId="2C91DCE4">
            <wp:extent cx="5602942" cy="3447678"/>
            <wp:effectExtent l="0" t="0" r="17145" b="635"/>
            <wp:docPr id="13" name="Graf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162A1C2" w14:textId="093F4A18" w:rsidR="001F7D4B" w:rsidRPr="00A34360" w:rsidRDefault="00A34360" w:rsidP="00A34360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n-GB"/>
        </w:rPr>
      </w:pPr>
      <w:r w:rsidRPr="00A34360">
        <w:rPr>
          <w:rFonts w:ascii="Calibri" w:hAnsi="Calibri" w:cs="Calibri"/>
          <w:sz w:val="22"/>
          <w:szCs w:val="22"/>
          <w:lang w:val="en-GB"/>
        </w:rPr>
        <w:t xml:space="preserve">You can find results for </w:t>
      </w:r>
      <w:r w:rsidR="001F7D4B" w:rsidRPr="00A34360">
        <w:rPr>
          <w:rFonts w:ascii="Calibri" w:hAnsi="Calibri" w:cs="Calibri"/>
          <w:sz w:val="22"/>
          <w:szCs w:val="22"/>
          <w:lang w:val="en-GB"/>
        </w:rPr>
        <w:t xml:space="preserve">2020 </w:t>
      </w:r>
      <w:r w:rsidRPr="00A34360">
        <w:rPr>
          <w:rFonts w:ascii="Calibri" w:hAnsi="Calibri" w:cs="Calibri"/>
          <w:sz w:val="22"/>
          <w:szCs w:val="22"/>
          <w:lang w:val="en-GB"/>
        </w:rPr>
        <w:t xml:space="preserve">on </w:t>
      </w:r>
      <w:hyperlink r:id="rId10" w:history="1">
        <w:r w:rsidRPr="00A34360">
          <w:rPr>
            <w:rStyle w:val="Hypertextovodkaz"/>
            <w:rFonts w:ascii="Calibri" w:hAnsi="Calibri" w:cs="Calibri"/>
            <w:sz w:val="22"/>
            <w:szCs w:val="22"/>
            <w:lang w:val="en-GB"/>
          </w:rPr>
          <w:t>https://www.coi.cz/en/results-of-fuel-inspections-in-2020/</w:t>
        </w:r>
      </w:hyperlink>
      <w:r w:rsidRPr="00A34360">
        <w:rPr>
          <w:rFonts w:ascii="Calibri" w:hAnsi="Calibri" w:cs="Calibri"/>
          <w:sz w:val="22"/>
          <w:szCs w:val="22"/>
          <w:lang w:val="en-GB"/>
        </w:rPr>
        <w:t xml:space="preserve"> </w:t>
      </w:r>
    </w:p>
    <w:sectPr w:rsidR="001F7D4B" w:rsidRPr="00A34360" w:rsidSect="00362969">
      <w:footerReference w:type="default" r:id="rId11"/>
      <w:pgSz w:w="12240" w:h="15800"/>
      <w:pgMar w:top="1417" w:right="1417" w:bottom="1417" w:left="1417" w:header="113" w:footer="0" w:gutter="0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04AE9" w16cex:dateUtc="2021-01-30T2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D3E6CA" w16cid:durableId="23C04A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9D89D" w14:textId="77777777" w:rsidR="00851BED" w:rsidRDefault="00851BED" w:rsidP="00185D99">
      <w:r>
        <w:separator/>
      </w:r>
    </w:p>
  </w:endnote>
  <w:endnote w:type="continuationSeparator" w:id="0">
    <w:p w14:paraId="2D207482" w14:textId="77777777" w:rsidR="00851BED" w:rsidRDefault="00851BED" w:rsidP="0018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9B0BF" w14:textId="77777777" w:rsidR="00A16A5B" w:rsidRPr="00EC63A5" w:rsidRDefault="00E034CA" w:rsidP="00EC63A5">
    <w:pPr>
      <w:pStyle w:val="Zpat"/>
      <w:tabs>
        <w:tab w:val="clear" w:pos="4536"/>
        <w:tab w:val="left" w:pos="4500"/>
        <w:tab w:val="left" w:pos="5220"/>
      </w:tabs>
      <w:spacing w:line="240" w:lineRule="auto"/>
      <w:ind w:left="900" w:hanging="900"/>
      <w:rPr>
        <w:sz w:val="18"/>
        <w:szCs w:val="18"/>
      </w:rPr>
    </w:pPr>
    <w:r w:rsidRPr="00EC63A5">
      <w:rPr>
        <w:b/>
        <w:i/>
        <w:color w:val="808080"/>
        <w:sz w:val="18"/>
        <w:szCs w:val="18"/>
      </w:rPr>
      <w:t>K</w:t>
    </w:r>
    <w:r w:rsidR="00A16A5B" w:rsidRPr="00EC63A5">
      <w:rPr>
        <w:b/>
        <w:i/>
        <w:color w:val="808080"/>
        <w:sz w:val="18"/>
        <w:szCs w:val="18"/>
      </w:rPr>
      <w:t>ontakt:</w:t>
    </w:r>
    <w:r w:rsidR="00D7221A" w:rsidRPr="00EC63A5">
      <w:rPr>
        <w:b/>
        <w:i/>
        <w:color w:val="808080"/>
        <w:sz w:val="18"/>
        <w:szCs w:val="18"/>
      </w:rPr>
      <w:tab/>
    </w:r>
    <w:r w:rsidR="00D7221A" w:rsidRPr="00EC63A5">
      <w:rPr>
        <w:color w:val="808080"/>
        <w:sz w:val="18"/>
        <w:szCs w:val="18"/>
      </w:rPr>
      <w:t>tiskový mluvčí ČOI</w:t>
    </w:r>
    <w:r w:rsidR="00A16A5B" w:rsidRPr="00EC63A5">
      <w:rPr>
        <w:color w:val="808080"/>
        <w:sz w:val="18"/>
        <w:szCs w:val="18"/>
      </w:rPr>
      <w:tab/>
    </w:r>
    <w:r w:rsidR="00EC63A5">
      <w:rPr>
        <w:color w:val="808080"/>
        <w:sz w:val="18"/>
        <w:szCs w:val="18"/>
      </w:rPr>
      <w:t xml:space="preserve">     </w:t>
    </w:r>
    <w:r w:rsidR="00A16A5B" w:rsidRPr="00EC63A5">
      <w:rPr>
        <w:color w:val="808080"/>
        <w:sz w:val="18"/>
        <w:szCs w:val="18"/>
      </w:rPr>
      <w:t xml:space="preserve">                       </w:t>
    </w:r>
    <w:r w:rsidR="001E059D" w:rsidRPr="00EC63A5">
      <w:rPr>
        <w:color w:val="808080"/>
        <w:sz w:val="18"/>
        <w:szCs w:val="18"/>
      </w:rPr>
      <w:t xml:space="preserve">                        </w:t>
    </w:r>
    <w:r w:rsidR="00A16A5B" w:rsidRPr="00EC63A5">
      <w:rPr>
        <w:color w:val="808080"/>
        <w:sz w:val="18"/>
        <w:szCs w:val="18"/>
      </w:rPr>
      <w:t xml:space="preserve"> </w:t>
    </w:r>
    <w:r w:rsidR="00EC63A5" w:rsidRPr="00EC63A5">
      <w:rPr>
        <w:color w:val="808080"/>
        <w:sz w:val="18"/>
        <w:szCs w:val="18"/>
      </w:rPr>
      <w:t xml:space="preserve">       </w:t>
    </w:r>
    <w:r w:rsidR="00A16A5B" w:rsidRPr="00EC63A5">
      <w:rPr>
        <w:b/>
        <w:i/>
        <w:color w:val="808080"/>
        <w:sz w:val="18"/>
        <w:szCs w:val="18"/>
      </w:rPr>
      <w:t>Telefon:</w:t>
    </w:r>
    <w:r w:rsidR="00A16A5B" w:rsidRPr="00EC63A5">
      <w:rPr>
        <w:i/>
        <w:color w:val="808080"/>
        <w:sz w:val="18"/>
        <w:szCs w:val="18"/>
      </w:rPr>
      <w:tab/>
      <w:t>+420 296 366 </w:t>
    </w:r>
    <w:r w:rsidR="000C6921" w:rsidRPr="00EC63A5">
      <w:rPr>
        <w:i/>
        <w:color w:val="808080"/>
        <w:sz w:val="18"/>
        <w:szCs w:val="18"/>
      </w:rPr>
      <w:t>233</w:t>
    </w:r>
    <w:r w:rsidR="00A16A5B" w:rsidRPr="00EC63A5">
      <w:rPr>
        <w:i/>
        <w:color w:val="808080"/>
        <w:sz w:val="18"/>
        <w:szCs w:val="18"/>
      </w:rPr>
      <w:t xml:space="preserve">  </w:t>
    </w:r>
    <w:r w:rsidR="00A16A5B" w:rsidRPr="00EC63A5">
      <w:rPr>
        <w:color w:val="808080"/>
        <w:sz w:val="18"/>
        <w:szCs w:val="18"/>
      </w:rPr>
      <w:br/>
    </w:r>
    <w:r w:rsidR="000E41C7">
      <w:rPr>
        <w:color w:val="808080"/>
        <w:sz w:val="18"/>
        <w:szCs w:val="18"/>
      </w:rPr>
      <w:t xml:space="preserve">Ing. </w:t>
    </w:r>
    <w:r w:rsidR="00D7221A" w:rsidRPr="00EC63A5">
      <w:rPr>
        <w:color w:val="808080"/>
        <w:sz w:val="18"/>
        <w:szCs w:val="18"/>
      </w:rPr>
      <w:t>Mgr. Jiří Fröhlich</w:t>
    </w:r>
    <w:r w:rsidR="00A16A5B" w:rsidRPr="00EC63A5">
      <w:rPr>
        <w:i/>
        <w:color w:val="808080"/>
        <w:sz w:val="18"/>
        <w:szCs w:val="18"/>
      </w:rPr>
      <w:tab/>
      <w:t xml:space="preserve">                           </w:t>
    </w:r>
    <w:r w:rsidR="001E059D" w:rsidRPr="00EC63A5">
      <w:rPr>
        <w:i/>
        <w:color w:val="808080"/>
        <w:sz w:val="18"/>
        <w:szCs w:val="18"/>
      </w:rPr>
      <w:t xml:space="preserve">                         </w:t>
    </w:r>
    <w:r w:rsidR="00691EDB" w:rsidRPr="00EC63A5">
      <w:rPr>
        <w:i/>
        <w:color w:val="808080"/>
        <w:sz w:val="18"/>
        <w:szCs w:val="18"/>
      </w:rPr>
      <w:t xml:space="preserve"> </w:t>
    </w:r>
    <w:r w:rsidR="00EC63A5" w:rsidRPr="00EC63A5">
      <w:rPr>
        <w:i/>
        <w:color w:val="808080"/>
        <w:sz w:val="18"/>
        <w:szCs w:val="18"/>
      </w:rPr>
      <w:t xml:space="preserve">       </w:t>
    </w:r>
    <w:r w:rsidR="00A16A5B" w:rsidRPr="00EC63A5">
      <w:rPr>
        <w:b/>
        <w:i/>
        <w:color w:val="808080"/>
        <w:sz w:val="18"/>
        <w:szCs w:val="18"/>
      </w:rPr>
      <w:t>Mobil:</w:t>
    </w:r>
    <w:r w:rsidR="00A16A5B" w:rsidRPr="00EC63A5">
      <w:rPr>
        <w:i/>
        <w:color w:val="808080"/>
        <w:sz w:val="18"/>
        <w:szCs w:val="18"/>
      </w:rPr>
      <w:t xml:space="preserve"> </w:t>
    </w:r>
    <w:r w:rsidR="00A16A5B" w:rsidRPr="00EC63A5">
      <w:rPr>
        <w:i/>
        <w:color w:val="808080"/>
        <w:sz w:val="18"/>
        <w:szCs w:val="18"/>
      </w:rPr>
      <w:tab/>
      <w:t>+420</w:t>
    </w:r>
    <w:r w:rsidR="000C6921" w:rsidRPr="00EC63A5">
      <w:rPr>
        <w:i/>
        <w:color w:val="808080"/>
        <w:sz w:val="18"/>
        <w:szCs w:val="18"/>
      </w:rPr>
      <w:t> 602 105 376</w:t>
    </w:r>
    <w:r w:rsidR="00A16A5B" w:rsidRPr="00EC63A5">
      <w:rPr>
        <w:i/>
        <w:color w:val="808080"/>
        <w:sz w:val="18"/>
        <w:szCs w:val="18"/>
      </w:rPr>
      <w:br/>
    </w:r>
    <w:r w:rsidR="00A16A5B" w:rsidRPr="00EC63A5">
      <w:rPr>
        <w:i/>
        <w:color w:val="808080"/>
        <w:sz w:val="18"/>
        <w:szCs w:val="18"/>
      </w:rPr>
      <w:tab/>
      <w:t xml:space="preserve">                           </w:t>
    </w:r>
    <w:r w:rsidR="001E059D" w:rsidRPr="00EC63A5">
      <w:rPr>
        <w:i/>
        <w:color w:val="808080"/>
        <w:sz w:val="18"/>
        <w:szCs w:val="18"/>
      </w:rPr>
      <w:t xml:space="preserve">                        </w:t>
    </w:r>
    <w:r w:rsidR="00EC63A5" w:rsidRPr="00EC63A5">
      <w:rPr>
        <w:i/>
        <w:color w:val="808080"/>
        <w:sz w:val="18"/>
        <w:szCs w:val="18"/>
      </w:rPr>
      <w:t xml:space="preserve">         </w:t>
    </w:r>
    <w:r w:rsidR="00A16A5B" w:rsidRPr="00EC63A5">
      <w:rPr>
        <w:b/>
        <w:i/>
        <w:color w:val="808080"/>
        <w:sz w:val="18"/>
        <w:szCs w:val="18"/>
      </w:rPr>
      <w:t>E-mail:</w:t>
    </w:r>
    <w:r w:rsidR="00A16A5B" w:rsidRPr="00EC63A5">
      <w:rPr>
        <w:i/>
        <w:color w:val="808080"/>
        <w:sz w:val="18"/>
        <w:szCs w:val="18"/>
      </w:rPr>
      <w:tab/>
      <w:t>mluvci</w:t>
    </w:r>
    <w:r w:rsidR="00A16A5B" w:rsidRPr="00EC63A5">
      <w:rPr>
        <w:i/>
        <w:color w:val="808080"/>
        <w:sz w:val="18"/>
        <w:szCs w:val="18"/>
        <w:lang w:val="en-CA"/>
      </w:rPr>
      <w:t>@coi.cz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DA18D" w14:textId="77777777" w:rsidR="00851BED" w:rsidRDefault="00851BED" w:rsidP="00185D99">
      <w:r>
        <w:separator/>
      </w:r>
    </w:p>
  </w:footnote>
  <w:footnote w:type="continuationSeparator" w:id="0">
    <w:p w14:paraId="1E4E5A8E" w14:textId="77777777" w:rsidR="00851BED" w:rsidRDefault="00851BED" w:rsidP="0018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A4E"/>
    <w:multiLevelType w:val="hybridMultilevel"/>
    <w:tmpl w:val="56546E02"/>
    <w:lvl w:ilvl="0" w:tplc="47063C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0630"/>
    <w:multiLevelType w:val="multilevel"/>
    <w:tmpl w:val="9E56D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E4C"/>
    <w:multiLevelType w:val="hybridMultilevel"/>
    <w:tmpl w:val="034A8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A69C9"/>
    <w:multiLevelType w:val="hybridMultilevel"/>
    <w:tmpl w:val="8C6C6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401B7"/>
    <w:multiLevelType w:val="hybridMultilevel"/>
    <w:tmpl w:val="E21E1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E3739"/>
    <w:multiLevelType w:val="hybridMultilevel"/>
    <w:tmpl w:val="638C7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3E89"/>
    <w:multiLevelType w:val="hybridMultilevel"/>
    <w:tmpl w:val="A80E8D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A6CA0"/>
    <w:multiLevelType w:val="hybridMultilevel"/>
    <w:tmpl w:val="2B166E5C"/>
    <w:lvl w:ilvl="0" w:tplc="BFDCDC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2931A01"/>
    <w:multiLevelType w:val="hybridMultilevel"/>
    <w:tmpl w:val="B4BE8C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04DAB"/>
    <w:multiLevelType w:val="hybridMultilevel"/>
    <w:tmpl w:val="ACAA95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E56DF"/>
    <w:multiLevelType w:val="hybridMultilevel"/>
    <w:tmpl w:val="CB10E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01105"/>
    <w:multiLevelType w:val="hybridMultilevel"/>
    <w:tmpl w:val="5296B4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1398E"/>
    <w:multiLevelType w:val="hybridMultilevel"/>
    <w:tmpl w:val="79DC6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E5CF9"/>
    <w:multiLevelType w:val="hybridMultilevel"/>
    <w:tmpl w:val="456804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8649E"/>
    <w:multiLevelType w:val="hybridMultilevel"/>
    <w:tmpl w:val="9E56D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E77F1"/>
    <w:multiLevelType w:val="hybridMultilevel"/>
    <w:tmpl w:val="59AED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03B91"/>
    <w:multiLevelType w:val="hybridMultilevel"/>
    <w:tmpl w:val="F6AE0D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10092"/>
    <w:multiLevelType w:val="hybridMultilevel"/>
    <w:tmpl w:val="AD644B26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2459C"/>
    <w:multiLevelType w:val="hybridMultilevel"/>
    <w:tmpl w:val="BF26C2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64F24"/>
    <w:multiLevelType w:val="hybridMultilevel"/>
    <w:tmpl w:val="DD78E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55340"/>
    <w:multiLevelType w:val="hybridMultilevel"/>
    <w:tmpl w:val="89342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E6E50"/>
    <w:multiLevelType w:val="hybridMultilevel"/>
    <w:tmpl w:val="E80E1082"/>
    <w:lvl w:ilvl="0" w:tplc="6E0E86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A4B21"/>
    <w:multiLevelType w:val="hybridMultilevel"/>
    <w:tmpl w:val="EFC4C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57626"/>
    <w:multiLevelType w:val="hybridMultilevel"/>
    <w:tmpl w:val="B1E412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21CED"/>
    <w:multiLevelType w:val="hybridMultilevel"/>
    <w:tmpl w:val="E312DA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80C7F"/>
    <w:multiLevelType w:val="hybridMultilevel"/>
    <w:tmpl w:val="4572A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331A1"/>
    <w:multiLevelType w:val="hybridMultilevel"/>
    <w:tmpl w:val="40C406A4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4148"/>
    <w:multiLevelType w:val="hybridMultilevel"/>
    <w:tmpl w:val="585C26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104F9"/>
    <w:multiLevelType w:val="hybridMultilevel"/>
    <w:tmpl w:val="C9F447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B2A02"/>
    <w:multiLevelType w:val="hybridMultilevel"/>
    <w:tmpl w:val="95765C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B345F"/>
    <w:multiLevelType w:val="hybridMultilevel"/>
    <w:tmpl w:val="C9869E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42AE2"/>
    <w:multiLevelType w:val="hybridMultilevel"/>
    <w:tmpl w:val="A5AC5A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B09A8"/>
    <w:multiLevelType w:val="hybridMultilevel"/>
    <w:tmpl w:val="EC7E3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B2984"/>
    <w:multiLevelType w:val="hybridMultilevel"/>
    <w:tmpl w:val="EF8EB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956DD"/>
    <w:multiLevelType w:val="hybridMultilevel"/>
    <w:tmpl w:val="FF88C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27321"/>
    <w:multiLevelType w:val="hybridMultilevel"/>
    <w:tmpl w:val="10AA8FC0"/>
    <w:lvl w:ilvl="0" w:tplc="8FCE5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E45A3"/>
    <w:multiLevelType w:val="hybridMultilevel"/>
    <w:tmpl w:val="972E5E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11"/>
  </w:num>
  <w:num w:numId="4">
    <w:abstractNumId w:val="28"/>
  </w:num>
  <w:num w:numId="5">
    <w:abstractNumId w:val="31"/>
  </w:num>
  <w:num w:numId="6">
    <w:abstractNumId w:val="3"/>
  </w:num>
  <w:num w:numId="7">
    <w:abstractNumId w:val="10"/>
  </w:num>
  <w:num w:numId="8">
    <w:abstractNumId w:val="9"/>
  </w:num>
  <w:num w:numId="9">
    <w:abstractNumId w:val="30"/>
  </w:num>
  <w:num w:numId="10">
    <w:abstractNumId w:val="2"/>
  </w:num>
  <w:num w:numId="11">
    <w:abstractNumId w:val="21"/>
  </w:num>
  <w:num w:numId="12">
    <w:abstractNumId w:val="7"/>
  </w:num>
  <w:num w:numId="13">
    <w:abstractNumId w:val="25"/>
  </w:num>
  <w:num w:numId="14">
    <w:abstractNumId w:val="15"/>
  </w:num>
  <w:num w:numId="15">
    <w:abstractNumId w:val="23"/>
  </w:num>
  <w:num w:numId="16">
    <w:abstractNumId w:val="16"/>
  </w:num>
  <w:num w:numId="17">
    <w:abstractNumId w:val="16"/>
  </w:num>
  <w:num w:numId="18">
    <w:abstractNumId w:val="5"/>
  </w:num>
  <w:num w:numId="19">
    <w:abstractNumId w:val="36"/>
  </w:num>
  <w:num w:numId="20">
    <w:abstractNumId w:val="24"/>
  </w:num>
  <w:num w:numId="21">
    <w:abstractNumId w:val="20"/>
  </w:num>
  <w:num w:numId="22">
    <w:abstractNumId w:val="27"/>
  </w:num>
  <w:num w:numId="23">
    <w:abstractNumId w:val="19"/>
  </w:num>
  <w:num w:numId="24">
    <w:abstractNumId w:val="14"/>
  </w:num>
  <w:num w:numId="25">
    <w:abstractNumId w:val="1"/>
  </w:num>
  <w:num w:numId="26">
    <w:abstractNumId w:val="8"/>
  </w:num>
  <w:num w:numId="27">
    <w:abstractNumId w:val="4"/>
  </w:num>
  <w:num w:numId="28">
    <w:abstractNumId w:val="32"/>
  </w:num>
  <w:num w:numId="29">
    <w:abstractNumId w:val="22"/>
  </w:num>
  <w:num w:numId="30">
    <w:abstractNumId w:val="13"/>
  </w:num>
  <w:num w:numId="31">
    <w:abstractNumId w:val="34"/>
  </w:num>
  <w:num w:numId="32">
    <w:abstractNumId w:val="17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35"/>
  </w:num>
  <w:num w:numId="36">
    <w:abstractNumId w:val="33"/>
  </w:num>
  <w:num w:numId="37">
    <w:abstractNumId w:val="6"/>
  </w:num>
  <w:num w:numId="38">
    <w:abstractNumId w:val="0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8A"/>
    <w:rsid w:val="0000308A"/>
    <w:rsid w:val="0000384A"/>
    <w:rsid w:val="00004B17"/>
    <w:rsid w:val="00004CEF"/>
    <w:rsid w:val="00013A78"/>
    <w:rsid w:val="00017E33"/>
    <w:rsid w:val="00022166"/>
    <w:rsid w:val="000262D6"/>
    <w:rsid w:val="0002632F"/>
    <w:rsid w:val="00030E4E"/>
    <w:rsid w:val="00041212"/>
    <w:rsid w:val="00042816"/>
    <w:rsid w:val="00044892"/>
    <w:rsid w:val="00046A6B"/>
    <w:rsid w:val="00047CCA"/>
    <w:rsid w:val="00057C66"/>
    <w:rsid w:val="000601B9"/>
    <w:rsid w:val="00060D18"/>
    <w:rsid w:val="00063861"/>
    <w:rsid w:val="00073323"/>
    <w:rsid w:val="00090E58"/>
    <w:rsid w:val="000940BC"/>
    <w:rsid w:val="000A16E0"/>
    <w:rsid w:val="000B07D7"/>
    <w:rsid w:val="000B21A0"/>
    <w:rsid w:val="000B5C40"/>
    <w:rsid w:val="000B603C"/>
    <w:rsid w:val="000B6A90"/>
    <w:rsid w:val="000C63E8"/>
    <w:rsid w:val="000C6921"/>
    <w:rsid w:val="000C6A8B"/>
    <w:rsid w:val="000C706B"/>
    <w:rsid w:val="000D06D3"/>
    <w:rsid w:val="000D4265"/>
    <w:rsid w:val="000D7B47"/>
    <w:rsid w:val="000E12C9"/>
    <w:rsid w:val="000E3E07"/>
    <w:rsid w:val="000E41C7"/>
    <w:rsid w:val="000F16D1"/>
    <w:rsid w:val="000F28A8"/>
    <w:rsid w:val="000F2C0C"/>
    <w:rsid w:val="000F3BE8"/>
    <w:rsid w:val="000F52A6"/>
    <w:rsid w:val="00100B4B"/>
    <w:rsid w:val="0010412D"/>
    <w:rsid w:val="001053AB"/>
    <w:rsid w:val="001140DC"/>
    <w:rsid w:val="0012106E"/>
    <w:rsid w:val="001224BB"/>
    <w:rsid w:val="001242CC"/>
    <w:rsid w:val="001271AA"/>
    <w:rsid w:val="00127737"/>
    <w:rsid w:val="0013173D"/>
    <w:rsid w:val="00135A96"/>
    <w:rsid w:val="00136ECC"/>
    <w:rsid w:val="00137876"/>
    <w:rsid w:val="00144E53"/>
    <w:rsid w:val="00146CDB"/>
    <w:rsid w:val="0015090F"/>
    <w:rsid w:val="00153DBC"/>
    <w:rsid w:val="00160AE3"/>
    <w:rsid w:val="00162498"/>
    <w:rsid w:val="00165268"/>
    <w:rsid w:val="00167217"/>
    <w:rsid w:val="00167615"/>
    <w:rsid w:val="001676F1"/>
    <w:rsid w:val="0017592B"/>
    <w:rsid w:val="00175E7B"/>
    <w:rsid w:val="00181BEA"/>
    <w:rsid w:val="0018225C"/>
    <w:rsid w:val="001824BB"/>
    <w:rsid w:val="001824BC"/>
    <w:rsid w:val="00185919"/>
    <w:rsid w:val="00185D99"/>
    <w:rsid w:val="00197482"/>
    <w:rsid w:val="001A118F"/>
    <w:rsid w:val="001A39B1"/>
    <w:rsid w:val="001A5633"/>
    <w:rsid w:val="001A7E65"/>
    <w:rsid w:val="001B09D6"/>
    <w:rsid w:val="001B12FA"/>
    <w:rsid w:val="001B5F7D"/>
    <w:rsid w:val="001B7A7B"/>
    <w:rsid w:val="001C2FDA"/>
    <w:rsid w:val="001D1199"/>
    <w:rsid w:val="001D267F"/>
    <w:rsid w:val="001D2A21"/>
    <w:rsid w:val="001D414B"/>
    <w:rsid w:val="001E059D"/>
    <w:rsid w:val="001E228C"/>
    <w:rsid w:val="001E3459"/>
    <w:rsid w:val="001E43F2"/>
    <w:rsid w:val="001E563D"/>
    <w:rsid w:val="001F2255"/>
    <w:rsid w:val="001F28AD"/>
    <w:rsid w:val="001F59E2"/>
    <w:rsid w:val="001F6608"/>
    <w:rsid w:val="001F7D4B"/>
    <w:rsid w:val="00204135"/>
    <w:rsid w:val="00205FD0"/>
    <w:rsid w:val="00206FBC"/>
    <w:rsid w:val="00210F85"/>
    <w:rsid w:val="00212094"/>
    <w:rsid w:val="00216362"/>
    <w:rsid w:val="00221C3C"/>
    <w:rsid w:val="00223387"/>
    <w:rsid w:val="00227461"/>
    <w:rsid w:val="0024082F"/>
    <w:rsid w:val="002434A7"/>
    <w:rsid w:val="00244A3B"/>
    <w:rsid w:val="00246218"/>
    <w:rsid w:val="002516E7"/>
    <w:rsid w:val="00256358"/>
    <w:rsid w:val="00261259"/>
    <w:rsid w:val="00275730"/>
    <w:rsid w:val="00277452"/>
    <w:rsid w:val="00277C2B"/>
    <w:rsid w:val="00277DEC"/>
    <w:rsid w:val="00293D34"/>
    <w:rsid w:val="00294CF5"/>
    <w:rsid w:val="00295D58"/>
    <w:rsid w:val="002A21C3"/>
    <w:rsid w:val="002A4DAE"/>
    <w:rsid w:val="002B48E6"/>
    <w:rsid w:val="002C2A53"/>
    <w:rsid w:val="002C466F"/>
    <w:rsid w:val="002D029E"/>
    <w:rsid w:val="002D1BB4"/>
    <w:rsid w:val="002D2CC1"/>
    <w:rsid w:val="002D7F03"/>
    <w:rsid w:val="002D7FF7"/>
    <w:rsid w:val="002E6676"/>
    <w:rsid w:val="002F2629"/>
    <w:rsid w:val="002F75FB"/>
    <w:rsid w:val="00302618"/>
    <w:rsid w:val="00307823"/>
    <w:rsid w:val="00315E92"/>
    <w:rsid w:val="0031699D"/>
    <w:rsid w:val="00324454"/>
    <w:rsid w:val="00325286"/>
    <w:rsid w:val="00337EC4"/>
    <w:rsid w:val="00340236"/>
    <w:rsid w:val="00343E6B"/>
    <w:rsid w:val="00351CBE"/>
    <w:rsid w:val="00351CCB"/>
    <w:rsid w:val="00362468"/>
    <w:rsid w:val="00362969"/>
    <w:rsid w:val="00365384"/>
    <w:rsid w:val="0036680B"/>
    <w:rsid w:val="003711F3"/>
    <w:rsid w:val="0037275B"/>
    <w:rsid w:val="0037488E"/>
    <w:rsid w:val="00375BC6"/>
    <w:rsid w:val="0037681A"/>
    <w:rsid w:val="00380156"/>
    <w:rsid w:val="00380FEC"/>
    <w:rsid w:val="0038428B"/>
    <w:rsid w:val="003849B0"/>
    <w:rsid w:val="00394AF4"/>
    <w:rsid w:val="00395172"/>
    <w:rsid w:val="0039799B"/>
    <w:rsid w:val="003A0B28"/>
    <w:rsid w:val="003A0EED"/>
    <w:rsid w:val="003A5569"/>
    <w:rsid w:val="003A62C1"/>
    <w:rsid w:val="003A65B6"/>
    <w:rsid w:val="003A6A82"/>
    <w:rsid w:val="003B70AE"/>
    <w:rsid w:val="003C5A15"/>
    <w:rsid w:val="003D112A"/>
    <w:rsid w:val="003D11C2"/>
    <w:rsid w:val="003E42B4"/>
    <w:rsid w:val="003E5D42"/>
    <w:rsid w:val="003E7340"/>
    <w:rsid w:val="003F1772"/>
    <w:rsid w:val="00402C0D"/>
    <w:rsid w:val="00405F7B"/>
    <w:rsid w:val="00406EF9"/>
    <w:rsid w:val="004142A3"/>
    <w:rsid w:val="0041577F"/>
    <w:rsid w:val="00420085"/>
    <w:rsid w:val="00420338"/>
    <w:rsid w:val="004241E6"/>
    <w:rsid w:val="00425B5C"/>
    <w:rsid w:val="00425E2A"/>
    <w:rsid w:val="004307D5"/>
    <w:rsid w:val="0043112A"/>
    <w:rsid w:val="00442AF8"/>
    <w:rsid w:val="0044362B"/>
    <w:rsid w:val="00444E25"/>
    <w:rsid w:val="00445103"/>
    <w:rsid w:val="004471FF"/>
    <w:rsid w:val="00453410"/>
    <w:rsid w:val="00454184"/>
    <w:rsid w:val="0046567B"/>
    <w:rsid w:val="00470B38"/>
    <w:rsid w:val="004723EA"/>
    <w:rsid w:val="00474959"/>
    <w:rsid w:val="00484646"/>
    <w:rsid w:val="00486448"/>
    <w:rsid w:val="004868C8"/>
    <w:rsid w:val="00487552"/>
    <w:rsid w:val="00490CDD"/>
    <w:rsid w:val="00491FDF"/>
    <w:rsid w:val="0049570F"/>
    <w:rsid w:val="004969C5"/>
    <w:rsid w:val="00496B0F"/>
    <w:rsid w:val="004A27F4"/>
    <w:rsid w:val="004A6CB6"/>
    <w:rsid w:val="004B3257"/>
    <w:rsid w:val="004B6AF5"/>
    <w:rsid w:val="004B7257"/>
    <w:rsid w:val="004C0728"/>
    <w:rsid w:val="004D2C95"/>
    <w:rsid w:val="004D305D"/>
    <w:rsid w:val="004D49B1"/>
    <w:rsid w:val="004D5F51"/>
    <w:rsid w:val="004E0267"/>
    <w:rsid w:val="004E047A"/>
    <w:rsid w:val="004E1903"/>
    <w:rsid w:val="004E6913"/>
    <w:rsid w:val="004F1F51"/>
    <w:rsid w:val="004F2F98"/>
    <w:rsid w:val="004F338F"/>
    <w:rsid w:val="004F6CB3"/>
    <w:rsid w:val="00500DE9"/>
    <w:rsid w:val="00506BED"/>
    <w:rsid w:val="00515929"/>
    <w:rsid w:val="00523B5D"/>
    <w:rsid w:val="00527275"/>
    <w:rsid w:val="00530640"/>
    <w:rsid w:val="00530ADD"/>
    <w:rsid w:val="00530F81"/>
    <w:rsid w:val="00536212"/>
    <w:rsid w:val="00537466"/>
    <w:rsid w:val="00537AF9"/>
    <w:rsid w:val="00540AE1"/>
    <w:rsid w:val="00545F6A"/>
    <w:rsid w:val="005476A6"/>
    <w:rsid w:val="005517AE"/>
    <w:rsid w:val="0055231A"/>
    <w:rsid w:val="00556CCE"/>
    <w:rsid w:val="0055744D"/>
    <w:rsid w:val="00561DF8"/>
    <w:rsid w:val="00577E46"/>
    <w:rsid w:val="005858BD"/>
    <w:rsid w:val="00592F6D"/>
    <w:rsid w:val="00594135"/>
    <w:rsid w:val="00594DBD"/>
    <w:rsid w:val="0059560F"/>
    <w:rsid w:val="005A1C34"/>
    <w:rsid w:val="005A44EE"/>
    <w:rsid w:val="005A7C75"/>
    <w:rsid w:val="005A7E24"/>
    <w:rsid w:val="005B09A2"/>
    <w:rsid w:val="005C4E4A"/>
    <w:rsid w:val="005D2077"/>
    <w:rsid w:val="005D3CE9"/>
    <w:rsid w:val="005D3D4C"/>
    <w:rsid w:val="005E2011"/>
    <w:rsid w:val="005E476D"/>
    <w:rsid w:val="005E47C3"/>
    <w:rsid w:val="005E6600"/>
    <w:rsid w:val="005E734E"/>
    <w:rsid w:val="005F2259"/>
    <w:rsid w:val="005F2D15"/>
    <w:rsid w:val="005F4EE6"/>
    <w:rsid w:val="005F5656"/>
    <w:rsid w:val="00600984"/>
    <w:rsid w:val="00600EDE"/>
    <w:rsid w:val="00602C53"/>
    <w:rsid w:val="006070DF"/>
    <w:rsid w:val="00622D3B"/>
    <w:rsid w:val="0062430A"/>
    <w:rsid w:val="00624694"/>
    <w:rsid w:val="00636D2B"/>
    <w:rsid w:val="00640081"/>
    <w:rsid w:val="00643474"/>
    <w:rsid w:val="00644E3B"/>
    <w:rsid w:val="006502BB"/>
    <w:rsid w:val="006535ED"/>
    <w:rsid w:val="0065616B"/>
    <w:rsid w:val="00663EB5"/>
    <w:rsid w:val="00676F1E"/>
    <w:rsid w:val="0068090B"/>
    <w:rsid w:val="006813F9"/>
    <w:rsid w:val="006833D8"/>
    <w:rsid w:val="006841CB"/>
    <w:rsid w:val="00685A7F"/>
    <w:rsid w:val="00687D59"/>
    <w:rsid w:val="00691EDB"/>
    <w:rsid w:val="006A32C9"/>
    <w:rsid w:val="006A4513"/>
    <w:rsid w:val="006A7DFE"/>
    <w:rsid w:val="006B425B"/>
    <w:rsid w:val="006C6282"/>
    <w:rsid w:val="006D1DAF"/>
    <w:rsid w:val="006D36CD"/>
    <w:rsid w:val="006D4638"/>
    <w:rsid w:val="006D5767"/>
    <w:rsid w:val="006D755B"/>
    <w:rsid w:val="006D7957"/>
    <w:rsid w:val="006E0909"/>
    <w:rsid w:val="006E5AE2"/>
    <w:rsid w:val="006E5F42"/>
    <w:rsid w:val="006F30DF"/>
    <w:rsid w:val="006F31D0"/>
    <w:rsid w:val="006F366E"/>
    <w:rsid w:val="00706C8F"/>
    <w:rsid w:val="007079EA"/>
    <w:rsid w:val="00715CAB"/>
    <w:rsid w:val="00721170"/>
    <w:rsid w:val="00721770"/>
    <w:rsid w:val="00723C2D"/>
    <w:rsid w:val="0072480B"/>
    <w:rsid w:val="00726157"/>
    <w:rsid w:val="00732A0D"/>
    <w:rsid w:val="007331D2"/>
    <w:rsid w:val="00736E5D"/>
    <w:rsid w:val="00740161"/>
    <w:rsid w:val="00741FC4"/>
    <w:rsid w:val="00750671"/>
    <w:rsid w:val="0076153E"/>
    <w:rsid w:val="007707EB"/>
    <w:rsid w:val="007778F1"/>
    <w:rsid w:val="007817AA"/>
    <w:rsid w:val="007A0E66"/>
    <w:rsid w:val="007A79BE"/>
    <w:rsid w:val="007B3F38"/>
    <w:rsid w:val="007C1891"/>
    <w:rsid w:val="007C22F5"/>
    <w:rsid w:val="007D13AB"/>
    <w:rsid w:val="007D1874"/>
    <w:rsid w:val="007D59C4"/>
    <w:rsid w:val="007E0B7D"/>
    <w:rsid w:val="007F0252"/>
    <w:rsid w:val="007F248D"/>
    <w:rsid w:val="007F479B"/>
    <w:rsid w:val="007F568C"/>
    <w:rsid w:val="007F62FC"/>
    <w:rsid w:val="007F6453"/>
    <w:rsid w:val="0080065C"/>
    <w:rsid w:val="008015A6"/>
    <w:rsid w:val="00801F8D"/>
    <w:rsid w:val="008049ED"/>
    <w:rsid w:val="008072AB"/>
    <w:rsid w:val="00811F54"/>
    <w:rsid w:val="00813930"/>
    <w:rsid w:val="00816630"/>
    <w:rsid w:val="00830D1B"/>
    <w:rsid w:val="008440B8"/>
    <w:rsid w:val="00851BED"/>
    <w:rsid w:val="008604D6"/>
    <w:rsid w:val="00861EB7"/>
    <w:rsid w:val="00863301"/>
    <w:rsid w:val="0086560F"/>
    <w:rsid w:val="00865B7B"/>
    <w:rsid w:val="00867FD2"/>
    <w:rsid w:val="008744A8"/>
    <w:rsid w:val="008752C6"/>
    <w:rsid w:val="00877FEA"/>
    <w:rsid w:val="008823B4"/>
    <w:rsid w:val="008827B9"/>
    <w:rsid w:val="0088321E"/>
    <w:rsid w:val="00895F4C"/>
    <w:rsid w:val="008A2994"/>
    <w:rsid w:val="008A5E2B"/>
    <w:rsid w:val="008B5D1E"/>
    <w:rsid w:val="008C7414"/>
    <w:rsid w:val="008C7E0C"/>
    <w:rsid w:val="008E5905"/>
    <w:rsid w:val="008F3354"/>
    <w:rsid w:val="008F4B9F"/>
    <w:rsid w:val="008F60EE"/>
    <w:rsid w:val="008F7988"/>
    <w:rsid w:val="00901553"/>
    <w:rsid w:val="00903ED7"/>
    <w:rsid w:val="00904EDB"/>
    <w:rsid w:val="009072AF"/>
    <w:rsid w:val="00914E47"/>
    <w:rsid w:val="00915AFA"/>
    <w:rsid w:val="00920A06"/>
    <w:rsid w:val="009267F9"/>
    <w:rsid w:val="00932782"/>
    <w:rsid w:val="0093311E"/>
    <w:rsid w:val="009442A7"/>
    <w:rsid w:val="00945127"/>
    <w:rsid w:val="00954744"/>
    <w:rsid w:val="00957646"/>
    <w:rsid w:val="00957D14"/>
    <w:rsid w:val="00961037"/>
    <w:rsid w:val="00971E23"/>
    <w:rsid w:val="00971EDD"/>
    <w:rsid w:val="00973F3C"/>
    <w:rsid w:val="00975876"/>
    <w:rsid w:val="00976B9C"/>
    <w:rsid w:val="00976E86"/>
    <w:rsid w:val="009817DB"/>
    <w:rsid w:val="0098193B"/>
    <w:rsid w:val="00986725"/>
    <w:rsid w:val="009874A7"/>
    <w:rsid w:val="009874D6"/>
    <w:rsid w:val="0099145D"/>
    <w:rsid w:val="00991D40"/>
    <w:rsid w:val="009A0587"/>
    <w:rsid w:val="009A453C"/>
    <w:rsid w:val="009B7F95"/>
    <w:rsid w:val="009C5D60"/>
    <w:rsid w:val="009C6FB8"/>
    <w:rsid w:val="009D034B"/>
    <w:rsid w:val="009D2CAA"/>
    <w:rsid w:val="009D58CB"/>
    <w:rsid w:val="009E1306"/>
    <w:rsid w:val="009E1B34"/>
    <w:rsid w:val="009E50DE"/>
    <w:rsid w:val="009E6D50"/>
    <w:rsid w:val="009F0AFD"/>
    <w:rsid w:val="009F0DE7"/>
    <w:rsid w:val="009F1BC3"/>
    <w:rsid w:val="009F5F3C"/>
    <w:rsid w:val="009F6DA3"/>
    <w:rsid w:val="00A0238D"/>
    <w:rsid w:val="00A035F5"/>
    <w:rsid w:val="00A06731"/>
    <w:rsid w:val="00A07415"/>
    <w:rsid w:val="00A13CC5"/>
    <w:rsid w:val="00A15829"/>
    <w:rsid w:val="00A16A5B"/>
    <w:rsid w:val="00A208FD"/>
    <w:rsid w:val="00A24054"/>
    <w:rsid w:val="00A27E5A"/>
    <w:rsid w:val="00A30919"/>
    <w:rsid w:val="00A34360"/>
    <w:rsid w:val="00A44F67"/>
    <w:rsid w:val="00A47238"/>
    <w:rsid w:val="00A502CE"/>
    <w:rsid w:val="00A53282"/>
    <w:rsid w:val="00A5391A"/>
    <w:rsid w:val="00A549AD"/>
    <w:rsid w:val="00A56399"/>
    <w:rsid w:val="00A565D6"/>
    <w:rsid w:val="00A61E58"/>
    <w:rsid w:val="00A65320"/>
    <w:rsid w:val="00A80D87"/>
    <w:rsid w:val="00A8244B"/>
    <w:rsid w:val="00A82BF6"/>
    <w:rsid w:val="00A8385B"/>
    <w:rsid w:val="00A904DB"/>
    <w:rsid w:val="00A90B65"/>
    <w:rsid w:val="00A92AD1"/>
    <w:rsid w:val="00A94FD3"/>
    <w:rsid w:val="00AA53E1"/>
    <w:rsid w:val="00AA70F3"/>
    <w:rsid w:val="00AA7C61"/>
    <w:rsid w:val="00AB059B"/>
    <w:rsid w:val="00AB2A24"/>
    <w:rsid w:val="00AB3651"/>
    <w:rsid w:val="00AB712F"/>
    <w:rsid w:val="00AB7968"/>
    <w:rsid w:val="00AC5225"/>
    <w:rsid w:val="00AC6C7C"/>
    <w:rsid w:val="00AD019C"/>
    <w:rsid w:val="00AD07A1"/>
    <w:rsid w:val="00AD0E0E"/>
    <w:rsid w:val="00AD1777"/>
    <w:rsid w:val="00AD4CF8"/>
    <w:rsid w:val="00AD5551"/>
    <w:rsid w:val="00AD745A"/>
    <w:rsid w:val="00AE5078"/>
    <w:rsid w:val="00AE7D98"/>
    <w:rsid w:val="00AF2C1B"/>
    <w:rsid w:val="00AF45E6"/>
    <w:rsid w:val="00AF62AF"/>
    <w:rsid w:val="00AF67AC"/>
    <w:rsid w:val="00B03878"/>
    <w:rsid w:val="00B07AF9"/>
    <w:rsid w:val="00B10360"/>
    <w:rsid w:val="00B14015"/>
    <w:rsid w:val="00B156DC"/>
    <w:rsid w:val="00B16AC2"/>
    <w:rsid w:val="00B17737"/>
    <w:rsid w:val="00B2034E"/>
    <w:rsid w:val="00B22980"/>
    <w:rsid w:val="00B235FE"/>
    <w:rsid w:val="00B33ECB"/>
    <w:rsid w:val="00B44811"/>
    <w:rsid w:val="00B45AF8"/>
    <w:rsid w:val="00B45FCA"/>
    <w:rsid w:val="00B5732B"/>
    <w:rsid w:val="00B6437A"/>
    <w:rsid w:val="00B646D3"/>
    <w:rsid w:val="00B67456"/>
    <w:rsid w:val="00B7138D"/>
    <w:rsid w:val="00B73F9D"/>
    <w:rsid w:val="00B751D9"/>
    <w:rsid w:val="00B76299"/>
    <w:rsid w:val="00B767AA"/>
    <w:rsid w:val="00B81A04"/>
    <w:rsid w:val="00B832E9"/>
    <w:rsid w:val="00B84D0C"/>
    <w:rsid w:val="00B86329"/>
    <w:rsid w:val="00B871DC"/>
    <w:rsid w:val="00B90207"/>
    <w:rsid w:val="00B90E1E"/>
    <w:rsid w:val="00B92B1C"/>
    <w:rsid w:val="00B95F00"/>
    <w:rsid w:val="00BA5606"/>
    <w:rsid w:val="00BA5A80"/>
    <w:rsid w:val="00BB72FF"/>
    <w:rsid w:val="00BC52BB"/>
    <w:rsid w:val="00BC543E"/>
    <w:rsid w:val="00BC5961"/>
    <w:rsid w:val="00BC6C4D"/>
    <w:rsid w:val="00BC7086"/>
    <w:rsid w:val="00BD2D29"/>
    <w:rsid w:val="00BD5024"/>
    <w:rsid w:val="00BD5403"/>
    <w:rsid w:val="00BD5B5C"/>
    <w:rsid w:val="00BE7632"/>
    <w:rsid w:val="00BF10D6"/>
    <w:rsid w:val="00BF2904"/>
    <w:rsid w:val="00BF3384"/>
    <w:rsid w:val="00C0777A"/>
    <w:rsid w:val="00C11AA1"/>
    <w:rsid w:val="00C1245E"/>
    <w:rsid w:val="00C2604F"/>
    <w:rsid w:val="00C30BD5"/>
    <w:rsid w:val="00C343D2"/>
    <w:rsid w:val="00C42D4C"/>
    <w:rsid w:val="00C53EDB"/>
    <w:rsid w:val="00C54DF4"/>
    <w:rsid w:val="00C54FEF"/>
    <w:rsid w:val="00C57E36"/>
    <w:rsid w:val="00C6042A"/>
    <w:rsid w:val="00C61364"/>
    <w:rsid w:val="00C61D98"/>
    <w:rsid w:val="00C63A6B"/>
    <w:rsid w:val="00C66F99"/>
    <w:rsid w:val="00C771F7"/>
    <w:rsid w:val="00C80179"/>
    <w:rsid w:val="00C81C10"/>
    <w:rsid w:val="00C82977"/>
    <w:rsid w:val="00C83E33"/>
    <w:rsid w:val="00C86024"/>
    <w:rsid w:val="00C86556"/>
    <w:rsid w:val="00C87D1C"/>
    <w:rsid w:val="00C91293"/>
    <w:rsid w:val="00C9230E"/>
    <w:rsid w:val="00C96268"/>
    <w:rsid w:val="00CA02DD"/>
    <w:rsid w:val="00CA17D9"/>
    <w:rsid w:val="00CA3299"/>
    <w:rsid w:val="00CA7AC3"/>
    <w:rsid w:val="00CB700D"/>
    <w:rsid w:val="00CC376C"/>
    <w:rsid w:val="00CC7478"/>
    <w:rsid w:val="00CD575F"/>
    <w:rsid w:val="00CD675A"/>
    <w:rsid w:val="00CE0241"/>
    <w:rsid w:val="00CE4F67"/>
    <w:rsid w:val="00CE52E2"/>
    <w:rsid w:val="00CE5310"/>
    <w:rsid w:val="00CE6715"/>
    <w:rsid w:val="00CE75DA"/>
    <w:rsid w:val="00CE75DB"/>
    <w:rsid w:val="00CF0B8A"/>
    <w:rsid w:val="00CF39F5"/>
    <w:rsid w:val="00CF6448"/>
    <w:rsid w:val="00CF73DF"/>
    <w:rsid w:val="00D016A4"/>
    <w:rsid w:val="00D02517"/>
    <w:rsid w:val="00D02F16"/>
    <w:rsid w:val="00D04AE8"/>
    <w:rsid w:val="00D068DA"/>
    <w:rsid w:val="00D10CF3"/>
    <w:rsid w:val="00D1125A"/>
    <w:rsid w:val="00D123EF"/>
    <w:rsid w:val="00D15FF6"/>
    <w:rsid w:val="00D22BA6"/>
    <w:rsid w:val="00D32AE9"/>
    <w:rsid w:val="00D34CF3"/>
    <w:rsid w:val="00D36978"/>
    <w:rsid w:val="00D7144E"/>
    <w:rsid w:val="00D7221A"/>
    <w:rsid w:val="00D73A91"/>
    <w:rsid w:val="00D74EB9"/>
    <w:rsid w:val="00D75CBD"/>
    <w:rsid w:val="00D75DD4"/>
    <w:rsid w:val="00D75E75"/>
    <w:rsid w:val="00D77104"/>
    <w:rsid w:val="00D80571"/>
    <w:rsid w:val="00D90B67"/>
    <w:rsid w:val="00D9208B"/>
    <w:rsid w:val="00D95F20"/>
    <w:rsid w:val="00DA1A95"/>
    <w:rsid w:val="00DA3444"/>
    <w:rsid w:val="00DA4340"/>
    <w:rsid w:val="00DA4F3E"/>
    <w:rsid w:val="00DB78F7"/>
    <w:rsid w:val="00DC5AEC"/>
    <w:rsid w:val="00DC60FD"/>
    <w:rsid w:val="00DD03B7"/>
    <w:rsid w:val="00DD0CBB"/>
    <w:rsid w:val="00DD11EA"/>
    <w:rsid w:val="00DD490D"/>
    <w:rsid w:val="00DE0392"/>
    <w:rsid w:val="00DE4890"/>
    <w:rsid w:val="00DF0024"/>
    <w:rsid w:val="00DF2C32"/>
    <w:rsid w:val="00DF434A"/>
    <w:rsid w:val="00DF5416"/>
    <w:rsid w:val="00DF54D2"/>
    <w:rsid w:val="00DF59B3"/>
    <w:rsid w:val="00E01168"/>
    <w:rsid w:val="00E02FB7"/>
    <w:rsid w:val="00E034CA"/>
    <w:rsid w:val="00E05382"/>
    <w:rsid w:val="00E07FB1"/>
    <w:rsid w:val="00E170B9"/>
    <w:rsid w:val="00E17C86"/>
    <w:rsid w:val="00E2083C"/>
    <w:rsid w:val="00E210E3"/>
    <w:rsid w:val="00E23BF7"/>
    <w:rsid w:val="00E35962"/>
    <w:rsid w:val="00E37756"/>
    <w:rsid w:val="00E37A58"/>
    <w:rsid w:val="00E41120"/>
    <w:rsid w:val="00E4453C"/>
    <w:rsid w:val="00E517CA"/>
    <w:rsid w:val="00E53978"/>
    <w:rsid w:val="00E556E0"/>
    <w:rsid w:val="00E55927"/>
    <w:rsid w:val="00E55C3D"/>
    <w:rsid w:val="00E57C2B"/>
    <w:rsid w:val="00E60E2D"/>
    <w:rsid w:val="00E61DAB"/>
    <w:rsid w:val="00E62E57"/>
    <w:rsid w:val="00E6559C"/>
    <w:rsid w:val="00E7057A"/>
    <w:rsid w:val="00E745AA"/>
    <w:rsid w:val="00E74E03"/>
    <w:rsid w:val="00E7592A"/>
    <w:rsid w:val="00E75EAD"/>
    <w:rsid w:val="00E77937"/>
    <w:rsid w:val="00E77B39"/>
    <w:rsid w:val="00E846F8"/>
    <w:rsid w:val="00E87D1E"/>
    <w:rsid w:val="00E90782"/>
    <w:rsid w:val="00E9118A"/>
    <w:rsid w:val="00E9375A"/>
    <w:rsid w:val="00E93A11"/>
    <w:rsid w:val="00E9554F"/>
    <w:rsid w:val="00E96BF2"/>
    <w:rsid w:val="00EA215E"/>
    <w:rsid w:val="00EA3CF5"/>
    <w:rsid w:val="00EA60A8"/>
    <w:rsid w:val="00EA720B"/>
    <w:rsid w:val="00EB19F7"/>
    <w:rsid w:val="00EB1F81"/>
    <w:rsid w:val="00EB4406"/>
    <w:rsid w:val="00EB4D2B"/>
    <w:rsid w:val="00EB5D64"/>
    <w:rsid w:val="00EB5DF5"/>
    <w:rsid w:val="00EC1085"/>
    <w:rsid w:val="00EC159E"/>
    <w:rsid w:val="00EC63A5"/>
    <w:rsid w:val="00EC7952"/>
    <w:rsid w:val="00ED5753"/>
    <w:rsid w:val="00ED74B0"/>
    <w:rsid w:val="00ED7EA8"/>
    <w:rsid w:val="00EE2D9C"/>
    <w:rsid w:val="00EE4E96"/>
    <w:rsid w:val="00EE4E9E"/>
    <w:rsid w:val="00EF153D"/>
    <w:rsid w:val="00EF1BFC"/>
    <w:rsid w:val="00EF319E"/>
    <w:rsid w:val="00EF78ED"/>
    <w:rsid w:val="00F00E18"/>
    <w:rsid w:val="00F01AEB"/>
    <w:rsid w:val="00F05BB5"/>
    <w:rsid w:val="00F063B7"/>
    <w:rsid w:val="00F064BA"/>
    <w:rsid w:val="00F13D02"/>
    <w:rsid w:val="00F14BE7"/>
    <w:rsid w:val="00F16A14"/>
    <w:rsid w:val="00F17F6E"/>
    <w:rsid w:val="00F204CA"/>
    <w:rsid w:val="00F23432"/>
    <w:rsid w:val="00F2569D"/>
    <w:rsid w:val="00F27EA4"/>
    <w:rsid w:val="00F3674C"/>
    <w:rsid w:val="00F40692"/>
    <w:rsid w:val="00F423AA"/>
    <w:rsid w:val="00F42B2E"/>
    <w:rsid w:val="00F43DC8"/>
    <w:rsid w:val="00F448AC"/>
    <w:rsid w:val="00F55DEB"/>
    <w:rsid w:val="00F57EBA"/>
    <w:rsid w:val="00F65266"/>
    <w:rsid w:val="00F7373F"/>
    <w:rsid w:val="00F7546A"/>
    <w:rsid w:val="00F758D2"/>
    <w:rsid w:val="00F75E83"/>
    <w:rsid w:val="00F806B2"/>
    <w:rsid w:val="00F81FC8"/>
    <w:rsid w:val="00F918E9"/>
    <w:rsid w:val="00F920A2"/>
    <w:rsid w:val="00F92E91"/>
    <w:rsid w:val="00F96D83"/>
    <w:rsid w:val="00F979E9"/>
    <w:rsid w:val="00FA2374"/>
    <w:rsid w:val="00FA3809"/>
    <w:rsid w:val="00FA4D91"/>
    <w:rsid w:val="00FB099B"/>
    <w:rsid w:val="00FB0F2A"/>
    <w:rsid w:val="00FB2A52"/>
    <w:rsid w:val="00FB449B"/>
    <w:rsid w:val="00FD2F73"/>
    <w:rsid w:val="00FD44B6"/>
    <w:rsid w:val="00FF36EA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29058C"/>
  <w15:chartTrackingRefBased/>
  <w15:docId w15:val="{6A7DCB2D-4D8C-4CC3-AFB1-E0625572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12094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E190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E1903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7952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patChar">
    <w:name w:val="Zápatí Char"/>
    <w:link w:val="Zpat"/>
    <w:uiPriority w:val="99"/>
    <w:rsid w:val="00EC7952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85D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185D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85D99"/>
    <w:rPr>
      <w:sz w:val="24"/>
      <w:szCs w:val="24"/>
    </w:rPr>
  </w:style>
  <w:style w:type="table" w:styleId="Mkatabulky">
    <w:name w:val="Table Grid"/>
    <w:basedOn w:val="Normlntabulka"/>
    <w:uiPriority w:val="59"/>
    <w:rsid w:val="0072177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A06731"/>
    <w:rPr>
      <w:color w:val="0000FF"/>
      <w:u w:val="single"/>
    </w:rPr>
  </w:style>
  <w:style w:type="paragraph" w:customStyle="1" w:styleId="Textbody">
    <w:name w:val="Text body"/>
    <w:basedOn w:val="Normln"/>
    <w:rsid w:val="007D59C4"/>
    <w:pPr>
      <w:tabs>
        <w:tab w:val="left" w:pos="709"/>
      </w:tabs>
      <w:suppressAutoHyphens/>
      <w:autoSpaceDN w:val="0"/>
      <w:spacing w:line="100" w:lineRule="atLeast"/>
    </w:pPr>
    <w:rPr>
      <w:b/>
      <w:color w:val="00000A"/>
      <w:kern w:val="3"/>
      <w:szCs w:val="20"/>
    </w:rPr>
  </w:style>
  <w:style w:type="character" w:styleId="Odkaznakoment">
    <w:name w:val="annotation reference"/>
    <w:rsid w:val="00E3775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7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7756"/>
  </w:style>
  <w:style w:type="paragraph" w:styleId="Pedmtkomente">
    <w:name w:val="annotation subject"/>
    <w:basedOn w:val="Textkomente"/>
    <w:next w:val="Textkomente"/>
    <w:link w:val="PedmtkomenteChar"/>
    <w:rsid w:val="00E3775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37756"/>
    <w:rPr>
      <w:b/>
      <w:bCs/>
    </w:rPr>
  </w:style>
  <w:style w:type="character" w:customStyle="1" w:styleId="Nadpis1Char">
    <w:name w:val="Nadpis 1 Char"/>
    <w:link w:val="Nadpis1"/>
    <w:uiPriority w:val="9"/>
    <w:rsid w:val="00212094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h1a5">
    <w:name w:val="h1a5"/>
    <w:rsid w:val="00004B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Bezmezer">
    <w:name w:val="No Spacing"/>
    <w:link w:val="BezmezerChar"/>
    <w:uiPriority w:val="1"/>
    <w:qFormat/>
    <w:rsid w:val="004F338F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4F338F"/>
    <w:rPr>
      <w:sz w:val="24"/>
      <w:szCs w:val="24"/>
      <w:lang w:bidi="ar-SA"/>
    </w:rPr>
  </w:style>
  <w:style w:type="paragraph" w:styleId="Normlnweb">
    <w:name w:val="Normal (Web)"/>
    <w:basedOn w:val="Normln"/>
    <w:uiPriority w:val="99"/>
    <w:unhideWhenUsed/>
    <w:rsid w:val="00BD5B5C"/>
    <w:pPr>
      <w:spacing w:before="192" w:after="192" w:line="360" w:lineRule="atLeast"/>
    </w:pPr>
  </w:style>
  <w:style w:type="character" w:styleId="Sledovanodkaz">
    <w:name w:val="FollowedHyperlink"/>
    <w:rsid w:val="00AA53E1"/>
    <w:rPr>
      <w:color w:val="954F72"/>
      <w:u w:val="single"/>
    </w:rPr>
  </w:style>
  <w:style w:type="character" w:styleId="Zdraznn">
    <w:name w:val="Emphasis"/>
    <w:uiPriority w:val="20"/>
    <w:qFormat/>
    <w:rsid w:val="00B16AC2"/>
    <w:rPr>
      <w:i/>
      <w:iCs/>
    </w:rPr>
  </w:style>
  <w:style w:type="paragraph" w:styleId="Nzev">
    <w:name w:val="Title"/>
    <w:basedOn w:val="Normln"/>
    <w:link w:val="NzevChar"/>
    <w:qFormat/>
    <w:rsid w:val="0093311E"/>
    <w:pPr>
      <w:jc w:val="center"/>
    </w:pPr>
    <w:rPr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93311E"/>
    <w:rPr>
      <w:sz w:val="28"/>
    </w:rPr>
  </w:style>
  <w:style w:type="character" w:styleId="Siln">
    <w:name w:val="Strong"/>
    <w:qFormat/>
    <w:rsid w:val="00E90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oi.cz/en/results-of-fuel-inspections-in-2020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rame1\UI\UI\SPK\OT\2021\zpr&#225;va%20%20ZZ_phm_%202020\Grafy_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defRPr>
            </a:pPr>
            <a:r>
              <a:rPr lang="cs-CZ" sz="1600" b="1" i="0" baseline="0">
                <a:effectLst/>
              </a:rPr>
              <a:t>Developments of fuel quality in a year-on-year comparison</a:t>
            </a:r>
            <a:endParaRPr lang="cs-CZ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600" b="1" i="0" u="none" strike="noStrike" kern="1200" baseline="0">
              <a:solidFill>
                <a:srgbClr val="1F497D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'meziroční porovnání%'!$B$4:$B$5</c:f>
              <c:strCache>
                <c:ptCount val="2"/>
                <c:pt idx="0">
                  <c:v>benziny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'meziroční porovnání%'!$A$6:$A$25</c:f>
              <c:strCache>
                <c:ptCount val="20"/>
                <c:pt idx="0">
                  <c:v>2. pololetí 2001</c:v>
                </c:pt>
                <c:pt idx="1">
                  <c:v>Rok 2002</c:v>
                </c:pt>
                <c:pt idx="2">
                  <c:v>Rok 2003</c:v>
                </c:pt>
                <c:pt idx="3">
                  <c:v>Rok 2004</c:v>
                </c:pt>
                <c:pt idx="4">
                  <c:v>Rok 2005</c:v>
                </c:pt>
                <c:pt idx="5">
                  <c:v>Rok 2006</c:v>
                </c:pt>
                <c:pt idx="6">
                  <c:v>Rok 2007</c:v>
                </c:pt>
                <c:pt idx="7">
                  <c:v>Rok 2008</c:v>
                </c:pt>
                <c:pt idx="8">
                  <c:v>Rok 2009</c:v>
                </c:pt>
                <c:pt idx="9">
                  <c:v>Rok 2010</c:v>
                </c:pt>
                <c:pt idx="10">
                  <c:v>Rok 2011</c:v>
                </c:pt>
                <c:pt idx="11">
                  <c:v>Rok 2012</c:v>
                </c:pt>
                <c:pt idx="12">
                  <c:v>Rok 2013</c:v>
                </c:pt>
                <c:pt idx="13">
                  <c:v>Rok 2014</c:v>
                </c:pt>
                <c:pt idx="14">
                  <c:v>Rok 2015</c:v>
                </c:pt>
                <c:pt idx="15">
                  <c:v>Rok 2016</c:v>
                </c:pt>
                <c:pt idx="16">
                  <c:v>Rok 2017</c:v>
                </c:pt>
                <c:pt idx="17">
                  <c:v>Rok 2018</c:v>
                </c:pt>
                <c:pt idx="18">
                  <c:v>Rok 2019</c:v>
                </c:pt>
                <c:pt idx="19">
                  <c:v>Rok 2020</c:v>
                </c:pt>
              </c:strCache>
            </c:strRef>
          </c:cat>
          <c:val>
            <c:numRef>
              <c:f>'meziroční porovnání%'!$R$6:$R$25</c:f>
              <c:numCache>
                <c:formatCode>0.0%</c:formatCode>
                <c:ptCount val="20"/>
                <c:pt idx="0">
                  <c:v>0.13500000000000001</c:v>
                </c:pt>
                <c:pt idx="1">
                  <c:v>0.09</c:v>
                </c:pt>
                <c:pt idx="2">
                  <c:v>0.124</c:v>
                </c:pt>
                <c:pt idx="3">
                  <c:v>8.5999999999999993E-2</c:v>
                </c:pt>
                <c:pt idx="4">
                  <c:v>6.0999999999999999E-2</c:v>
                </c:pt>
                <c:pt idx="5">
                  <c:v>4.8000000000000001E-2</c:v>
                </c:pt>
                <c:pt idx="6">
                  <c:v>4.5999999999999999E-2</c:v>
                </c:pt>
                <c:pt idx="7">
                  <c:v>5.5999999999999994E-2</c:v>
                </c:pt>
                <c:pt idx="8">
                  <c:v>0.05</c:v>
                </c:pt>
                <c:pt idx="9">
                  <c:v>7.9000000000000001E-2</c:v>
                </c:pt>
                <c:pt idx="10">
                  <c:v>4.4000000000000004E-2</c:v>
                </c:pt>
                <c:pt idx="11">
                  <c:v>3.1E-2</c:v>
                </c:pt>
                <c:pt idx="12">
                  <c:v>2.8999999999999998E-2</c:v>
                </c:pt>
                <c:pt idx="13">
                  <c:v>0.03</c:v>
                </c:pt>
                <c:pt idx="14">
                  <c:v>1.2E-2</c:v>
                </c:pt>
                <c:pt idx="15">
                  <c:v>1.1000000000000001E-2</c:v>
                </c:pt>
                <c:pt idx="16">
                  <c:v>0.01</c:v>
                </c:pt>
                <c:pt idx="17">
                  <c:v>1.1000000000000001E-2</c:v>
                </c:pt>
                <c:pt idx="18">
                  <c:v>6.9999999999999993E-3</c:v>
                </c:pt>
                <c:pt idx="19">
                  <c:v>5.0000000000000001E-3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C0-483D-BEB5-104BD6A4881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86914432"/>
        <c:axId val="286914824"/>
      </c:barChart>
      <c:catAx>
        <c:axId val="286914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86914824"/>
        <c:crosses val="autoZero"/>
        <c:auto val="1"/>
        <c:lblAlgn val="ctr"/>
        <c:lblOffset val="100"/>
        <c:noMultiLvlLbl val="0"/>
      </c:catAx>
      <c:valAx>
        <c:axId val="286914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86914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5D31A-4F37-429D-BD7E-6E35E4AB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obchodní inspekce</vt:lpstr>
    </vt:vector>
  </TitlesOfParts>
  <Company>COI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obchodní inspekce</dc:title>
  <dc:subject/>
  <dc:creator>vjanca</dc:creator>
  <cp:keywords/>
  <dc:description/>
  <cp:lastModifiedBy>Tichota Ondřej</cp:lastModifiedBy>
  <cp:revision>11</cp:revision>
  <cp:lastPrinted>2020-03-20T08:49:00Z</cp:lastPrinted>
  <dcterms:created xsi:type="dcterms:W3CDTF">2021-01-30T20:30:00Z</dcterms:created>
  <dcterms:modified xsi:type="dcterms:W3CDTF">2021-03-05T08:21:00Z</dcterms:modified>
</cp:coreProperties>
</file>