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4A0" w:firstRow="1" w:lastRow="0" w:firstColumn="1" w:lastColumn="0" w:noHBand="0" w:noVBand="1"/>
      </w:tblPr>
      <w:tblGrid>
        <w:gridCol w:w="3085"/>
        <w:gridCol w:w="6127"/>
      </w:tblGrid>
      <w:tr w:rsidR="002D7F03" w:rsidRPr="005321D5" w14:paraId="47B791CE" w14:textId="77777777" w:rsidTr="002D7F03">
        <w:trPr>
          <w:trHeight w:val="907"/>
        </w:trPr>
        <w:tc>
          <w:tcPr>
            <w:tcW w:w="3085" w:type="dxa"/>
            <w:shd w:val="clear" w:color="auto" w:fill="auto"/>
          </w:tcPr>
          <w:p w14:paraId="09F54504" w14:textId="19D900EE" w:rsidR="002D7F03" w:rsidRPr="005321D5" w:rsidRDefault="008072AB" w:rsidP="002D7F03">
            <w:pPr>
              <w:rPr>
                <w:rFonts w:ascii="Calibri" w:hAnsi="Calibri"/>
                <w:lang w:val="en-GB"/>
              </w:rPr>
            </w:pPr>
            <w:r w:rsidRPr="005321D5">
              <w:rPr>
                <w:rFonts w:ascii="Calibri" w:hAnsi="Calibri"/>
                <w:noProof/>
                <w:lang w:val="en-GB"/>
              </w:rPr>
              <w:drawing>
                <wp:inline distT="0" distB="0" distL="0" distR="0" wp14:anchorId="26838B5C" wp14:editId="60618FDD">
                  <wp:extent cx="1911350" cy="5778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a:extLst>
                              <a:ext uri="{28A0092B-C50C-407E-A947-70E740481C1C}">
                                <a14:useLocalDpi xmlns:a14="http://schemas.microsoft.com/office/drawing/2010/main" val="0"/>
                              </a:ext>
                            </a:extLst>
                          </a:blip>
                          <a:srcRect r="14830"/>
                          <a:stretch>
                            <a:fillRect/>
                          </a:stretch>
                        </pic:blipFill>
                        <pic:spPr bwMode="auto">
                          <a:xfrm>
                            <a:off x="0" y="0"/>
                            <a:ext cx="1911350" cy="577850"/>
                          </a:xfrm>
                          <a:prstGeom prst="rect">
                            <a:avLst/>
                          </a:prstGeom>
                          <a:noFill/>
                          <a:ln>
                            <a:noFill/>
                          </a:ln>
                        </pic:spPr>
                      </pic:pic>
                    </a:graphicData>
                  </a:graphic>
                </wp:inline>
              </w:drawing>
            </w:r>
          </w:p>
        </w:tc>
        <w:tc>
          <w:tcPr>
            <w:tcW w:w="6127" w:type="dxa"/>
            <w:shd w:val="clear" w:color="auto" w:fill="D9D9D9"/>
            <w:vAlign w:val="center"/>
          </w:tcPr>
          <w:p w14:paraId="21655697" w14:textId="464AB894" w:rsidR="002D7F03" w:rsidRPr="005321D5" w:rsidRDefault="006F3496" w:rsidP="002D7F03">
            <w:pPr>
              <w:jc w:val="center"/>
              <w:rPr>
                <w:rFonts w:ascii="Calibri" w:hAnsi="Calibri" w:cs="Arial"/>
                <w:b/>
                <w:sz w:val="56"/>
                <w:szCs w:val="56"/>
                <w:lang w:val="en-GB"/>
              </w:rPr>
            </w:pPr>
            <w:r w:rsidRPr="005321D5">
              <w:rPr>
                <w:rFonts w:ascii="Calibri" w:hAnsi="Calibri" w:cs="Arial"/>
                <w:b/>
                <w:sz w:val="56"/>
                <w:szCs w:val="56"/>
                <w:lang w:val="en-GB"/>
              </w:rPr>
              <w:t>PRESS RELEASE</w:t>
            </w:r>
          </w:p>
        </w:tc>
      </w:tr>
    </w:tbl>
    <w:p w14:paraId="68617974" w14:textId="77777777" w:rsidR="004E047A" w:rsidRPr="005321D5" w:rsidRDefault="004E047A" w:rsidP="00C54DF4">
      <w:pPr>
        <w:jc w:val="both"/>
        <w:rPr>
          <w:rFonts w:ascii="Calibri" w:hAnsi="Calibri"/>
          <w:sz w:val="22"/>
          <w:szCs w:val="22"/>
          <w:lang w:val="en-GB"/>
        </w:rPr>
      </w:pPr>
    </w:p>
    <w:p w14:paraId="7E7D4D60" w14:textId="39C387ED" w:rsidR="00E210E3" w:rsidRPr="005321D5" w:rsidRDefault="006F3496" w:rsidP="008F60EE">
      <w:pPr>
        <w:spacing w:before="120"/>
        <w:jc w:val="both"/>
        <w:rPr>
          <w:rFonts w:ascii="Calibri" w:hAnsi="Calibri" w:cs="Arial"/>
          <w:b/>
          <w:color w:val="0070C0"/>
          <w:sz w:val="32"/>
          <w:szCs w:val="32"/>
          <w:lang w:val="en-GB"/>
        </w:rPr>
      </w:pPr>
      <w:r w:rsidRPr="005321D5">
        <w:rPr>
          <w:rFonts w:ascii="Calibri" w:hAnsi="Calibri" w:cs="Arial"/>
          <w:b/>
          <w:color w:val="0070C0"/>
          <w:sz w:val="32"/>
          <w:szCs w:val="32"/>
          <w:lang w:val="en-GB"/>
        </w:rPr>
        <w:t>Inspection results – pyrotechnic articles in</w:t>
      </w:r>
      <w:r w:rsidR="00F874F8" w:rsidRPr="005321D5">
        <w:rPr>
          <w:rFonts w:ascii="Calibri" w:hAnsi="Calibri" w:cs="Arial"/>
          <w:b/>
          <w:color w:val="0070C0"/>
          <w:sz w:val="32"/>
          <w:szCs w:val="32"/>
          <w:lang w:val="en-GB"/>
        </w:rPr>
        <w:t xml:space="preserve"> 2020</w:t>
      </w:r>
    </w:p>
    <w:p w14:paraId="5E53E030" w14:textId="6506F605" w:rsidR="008F60EE" w:rsidRPr="005321D5" w:rsidRDefault="008F60EE" w:rsidP="008F60EE">
      <w:pPr>
        <w:spacing w:after="120"/>
        <w:jc w:val="both"/>
        <w:rPr>
          <w:rFonts w:ascii="Calibri" w:hAnsi="Calibri" w:cs="Arial"/>
          <w:i/>
          <w:color w:val="0070C0"/>
          <w:sz w:val="32"/>
          <w:szCs w:val="32"/>
          <w:lang w:val="en-GB"/>
        </w:rPr>
      </w:pPr>
      <w:r w:rsidRPr="005321D5">
        <w:rPr>
          <w:rFonts w:ascii="Calibri" w:hAnsi="Calibri" w:cs="Calibri"/>
          <w:i/>
          <w:sz w:val="22"/>
          <w:szCs w:val="22"/>
          <w:lang w:val="en-GB"/>
        </w:rPr>
        <w:t>(</w:t>
      </w:r>
      <w:r w:rsidR="006F3496" w:rsidRPr="005321D5">
        <w:rPr>
          <w:rFonts w:ascii="Calibri" w:hAnsi="Calibri" w:cs="Calibri"/>
          <w:i/>
          <w:sz w:val="22"/>
          <w:szCs w:val="22"/>
          <w:lang w:val="en-GB"/>
        </w:rPr>
        <w:t xml:space="preserve">Final report of </w:t>
      </w:r>
      <w:r w:rsidRPr="005321D5">
        <w:rPr>
          <w:rFonts w:ascii="Calibri" w:hAnsi="Calibri" w:cs="Calibri"/>
          <w:i/>
          <w:sz w:val="22"/>
          <w:szCs w:val="22"/>
          <w:lang w:val="en-GB"/>
        </w:rPr>
        <w:t>2020)</w:t>
      </w:r>
    </w:p>
    <w:p w14:paraId="0E0227C0" w14:textId="13B51D64" w:rsidR="006F3496" w:rsidRPr="005321D5" w:rsidRDefault="006F3496" w:rsidP="006F3496">
      <w:pPr>
        <w:pStyle w:val="Nzev"/>
        <w:spacing w:before="120" w:after="120" w:line="276" w:lineRule="auto"/>
        <w:jc w:val="both"/>
        <w:rPr>
          <w:rFonts w:asciiTheme="minorHAnsi" w:hAnsiTheme="minorHAnsi" w:cstheme="minorHAnsi"/>
          <w:b/>
          <w:bCs/>
          <w:sz w:val="22"/>
          <w:szCs w:val="22"/>
          <w:lang w:val="en-GB"/>
        </w:rPr>
      </w:pPr>
      <w:r w:rsidRPr="005321D5">
        <w:rPr>
          <w:rFonts w:asciiTheme="minorHAnsi" w:hAnsiTheme="minorHAnsi" w:cstheme="minorHAnsi"/>
          <w:b/>
          <w:bCs/>
          <w:i/>
          <w:sz w:val="22"/>
          <w:szCs w:val="22"/>
          <w:lang w:val="en-GB"/>
        </w:rPr>
        <w:t>(Prague, 15 February 2021)</w:t>
      </w:r>
      <w:r w:rsidRPr="005321D5">
        <w:rPr>
          <w:rFonts w:asciiTheme="minorHAnsi" w:hAnsiTheme="minorHAnsi" w:cstheme="minorHAnsi"/>
          <w:b/>
          <w:bCs/>
          <w:sz w:val="22"/>
          <w:szCs w:val="22"/>
          <w:lang w:val="en-GB"/>
        </w:rPr>
        <w:t xml:space="preserve"> </w:t>
      </w:r>
      <w:r w:rsidRPr="005321D5">
        <w:rPr>
          <w:rFonts w:asciiTheme="minorHAnsi" w:hAnsiTheme="minorHAnsi" w:cstheme="minorHAnsi"/>
          <w:b/>
          <w:bCs/>
          <w:sz w:val="22"/>
          <w:szCs w:val="22"/>
          <w:lang w:val="en-GB"/>
        </w:rPr>
        <w:t xml:space="preserve">In 2020, the </w:t>
      </w:r>
      <w:r w:rsidRPr="005321D5">
        <w:rPr>
          <w:rFonts w:asciiTheme="minorHAnsi" w:hAnsiTheme="minorHAnsi" w:cstheme="minorHAnsi"/>
          <w:b/>
          <w:bCs/>
          <w:sz w:val="22"/>
          <w:szCs w:val="22"/>
          <w:lang w:val="en-GB"/>
        </w:rPr>
        <w:t>Czech Trade Inspection Authority0 offered, sold and stored pyrotechnic articles. Act No. 206/2015 Coll., on pyrotechnic articles and their handling, imposes on traders the safe handling of fireworks, which could</w:t>
      </w:r>
      <w:bookmarkStart w:id="0" w:name="_GoBack"/>
      <w:bookmarkEnd w:id="0"/>
      <w:r w:rsidRPr="005321D5">
        <w:rPr>
          <w:rFonts w:asciiTheme="minorHAnsi" w:hAnsiTheme="minorHAnsi" w:cstheme="minorHAnsi"/>
          <w:b/>
          <w:bCs/>
          <w:sz w:val="22"/>
          <w:szCs w:val="22"/>
          <w:lang w:val="en-GB"/>
        </w:rPr>
        <w:t xml:space="preserve"> seriously endanger the health of the consumer</w:t>
      </w:r>
      <w:r w:rsidRPr="005321D5">
        <w:rPr>
          <w:rFonts w:asciiTheme="minorHAnsi" w:hAnsiTheme="minorHAnsi" w:cstheme="minorHAnsi"/>
          <w:b/>
          <w:bCs/>
          <w:sz w:val="22"/>
          <w:szCs w:val="22"/>
          <w:lang w:val="en-GB"/>
        </w:rPr>
        <w:t xml:space="preserve"> </w:t>
      </w:r>
      <w:r w:rsidRPr="005321D5">
        <w:rPr>
          <w:rFonts w:asciiTheme="minorHAnsi" w:hAnsiTheme="minorHAnsi" w:cstheme="minorHAnsi"/>
          <w:b/>
          <w:bCs/>
          <w:sz w:val="22"/>
          <w:szCs w:val="22"/>
          <w:lang w:val="en-GB"/>
        </w:rPr>
        <w:t xml:space="preserve">in some cases. The </w:t>
      </w:r>
      <w:r w:rsidRPr="005321D5">
        <w:rPr>
          <w:rFonts w:asciiTheme="minorHAnsi" w:hAnsiTheme="minorHAnsi" w:cstheme="minorHAnsi"/>
          <w:b/>
          <w:bCs/>
          <w:sz w:val="22"/>
          <w:szCs w:val="22"/>
          <w:lang w:val="en-GB"/>
        </w:rPr>
        <w:t>CTIA</w:t>
      </w:r>
      <w:r w:rsidRPr="005321D5">
        <w:rPr>
          <w:rFonts w:asciiTheme="minorHAnsi" w:hAnsiTheme="minorHAnsi" w:cstheme="minorHAnsi"/>
          <w:b/>
          <w:bCs/>
          <w:sz w:val="22"/>
          <w:szCs w:val="22"/>
          <w:lang w:val="en-GB"/>
        </w:rPr>
        <w:t xml:space="preserve"> carried out 140 inspections last year and found violations of this law in 23 cases. </w:t>
      </w:r>
      <w:r w:rsidRPr="005321D5">
        <w:rPr>
          <w:rFonts w:asciiTheme="minorHAnsi" w:hAnsiTheme="minorHAnsi" w:cstheme="minorHAnsi"/>
          <w:b/>
          <w:bCs/>
          <w:i/>
          <w:sz w:val="22"/>
          <w:szCs w:val="22"/>
          <w:lang w:val="en-GB"/>
        </w:rPr>
        <w:t xml:space="preserve">"During the inspections, the Czech Trade Inspection Authority </w:t>
      </w:r>
      <w:r w:rsidRPr="005321D5">
        <w:rPr>
          <w:rFonts w:asciiTheme="minorHAnsi" w:hAnsiTheme="minorHAnsi" w:cstheme="minorHAnsi"/>
          <w:b/>
          <w:bCs/>
          <w:i/>
          <w:sz w:val="22"/>
          <w:szCs w:val="22"/>
          <w:lang w:val="en-GB"/>
        </w:rPr>
        <w:t xml:space="preserve">was </w:t>
      </w:r>
      <w:r w:rsidRPr="005321D5">
        <w:rPr>
          <w:rFonts w:asciiTheme="minorHAnsi" w:hAnsiTheme="minorHAnsi" w:cstheme="minorHAnsi"/>
          <w:b/>
          <w:bCs/>
          <w:i/>
          <w:sz w:val="22"/>
          <w:szCs w:val="22"/>
          <w:lang w:val="en-GB"/>
        </w:rPr>
        <w:t xml:space="preserve">also sales to minors who, according to this Act, do not have the possibility to purchase pyrotechnic articles due to </w:t>
      </w:r>
      <w:r w:rsidRPr="005321D5">
        <w:rPr>
          <w:rFonts w:asciiTheme="minorHAnsi" w:hAnsiTheme="minorHAnsi" w:cstheme="minorHAnsi"/>
          <w:b/>
          <w:bCs/>
          <w:i/>
          <w:sz w:val="22"/>
          <w:szCs w:val="22"/>
          <w:lang w:val="en-GB"/>
        </w:rPr>
        <w:t xml:space="preserve">the </w:t>
      </w:r>
      <w:r w:rsidRPr="005321D5">
        <w:rPr>
          <w:rFonts w:asciiTheme="minorHAnsi" w:hAnsiTheme="minorHAnsi" w:cstheme="minorHAnsi"/>
          <w:b/>
          <w:bCs/>
          <w:i/>
          <w:sz w:val="22"/>
          <w:szCs w:val="22"/>
          <w:lang w:val="en-GB"/>
        </w:rPr>
        <w:t xml:space="preserve">non-compliance with the </w:t>
      </w:r>
      <w:r w:rsidRPr="005321D5">
        <w:rPr>
          <w:rFonts w:asciiTheme="minorHAnsi" w:hAnsiTheme="minorHAnsi" w:cstheme="minorHAnsi"/>
          <w:b/>
          <w:bCs/>
          <w:i/>
          <w:sz w:val="22"/>
          <w:szCs w:val="22"/>
          <w:lang w:val="en-GB"/>
        </w:rPr>
        <w:t xml:space="preserve">required </w:t>
      </w:r>
      <w:r w:rsidRPr="005321D5">
        <w:rPr>
          <w:rFonts w:asciiTheme="minorHAnsi" w:hAnsiTheme="minorHAnsi" w:cstheme="minorHAnsi"/>
          <w:b/>
          <w:bCs/>
          <w:i/>
          <w:sz w:val="22"/>
          <w:szCs w:val="22"/>
          <w:lang w:val="en-GB"/>
        </w:rPr>
        <w:t xml:space="preserve">age limit. The use of pyrotechnic articles by </w:t>
      </w:r>
      <w:r w:rsidRPr="005321D5">
        <w:rPr>
          <w:rFonts w:asciiTheme="minorHAnsi" w:hAnsiTheme="minorHAnsi" w:cstheme="minorHAnsi"/>
          <w:b/>
          <w:bCs/>
          <w:i/>
          <w:sz w:val="22"/>
          <w:szCs w:val="22"/>
          <w:lang w:val="en-GB"/>
        </w:rPr>
        <w:t>juveniles</w:t>
      </w:r>
      <w:r w:rsidRPr="005321D5">
        <w:rPr>
          <w:rFonts w:asciiTheme="minorHAnsi" w:hAnsiTheme="minorHAnsi" w:cstheme="minorHAnsi"/>
          <w:b/>
          <w:bCs/>
          <w:i/>
          <w:sz w:val="22"/>
          <w:szCs w:val="22"/>
          <w:lang w:val="en-GB"/>
        </w:rPr>
        <w:t xml:space="preserve"> </w:t>
      </w:r>
      <w:r w:rsidRPr="005321D5">
        <w:rPr>
          <w:rFonts w:asciiTheme="minorHAnsi" w:hAnsiTheme="minorHAnsi" w:cstheme="minorHAnsi"/>
          <w:b/>
          <w:bCs/>
          <w:i/>
          <w:sz w:val="22"/>
          <w:szCs w:val="22"/>
          <w:lang w:val="en-GB"/>
        </w:rPr>
        <w:t>poses a high risk to them</w:t>
      </w:r>
      <w:r w:rsidRPr="005321D5">
        <w:rPr>
          <w:rFonts w:asciiTheme="minorHAnsi" w:hAnsiTheme="minorHAnsi" w:cstheme="minorHAnsi"/>
          <w:b/>
          <w:bCs/>
          <w:i/>
          <w:sz w:val="22"/>
          <w:szCs w:val="22"/>
          <w:lang w:val="en-GB"/>
        </w:rPr>
        <w:t xml:space="preserve"> </w:t>
      </w:r>
      <w:r w:rsidRPr="005321D5">
        <w:rPr>
          <w:rFonts w:asciiTheme="minorHAnsi" w:hAnsiTheme="minorHAnsi" w:cstheme="minorHAnsi"/>
          <w:b/>
          <w:bCs/>
          <w:i/>
          <w:sz w:val="22"/>
          <w:szCs w:val="22"/>
          <w:lang w:val="en-GB"/>
        </w:rPr>
        <w:t>and to their surroundings. The CTIA</w:t>
      </w:r>
      <w:r w:rsidRPr="005321D5">
        <w:rPr>
          <w:rFonts w:asciiTheme="minorHAnsi" w:hAnsiTheme="minorHAnsi" w:cstheme="minorHAnsi"/>
          <w:b/>
          <w:bCs/>
          <w:i/>
          <w:sz w:val="22"/>
          <w:szCs w:val="22"/>
          <w:lang w:val="en-GB"/>
        </w:rPr>
        <w:t xml:space="preserve"> will continue these inspections in </w:t>
      </w:r>
      <w:r w:rsidRPr="005321D5">
        <w:rPr>
          <w:rFonts w:asciiTheme="minorHAnsi" w:hAnsiTheme="minorHAnsi" w:cstheme="minorHAnsi"/>
          <w:b/>
          <w:bCs/>
          <w:i/>
          <w:sz w:val="22"/>
          <w:szCs w:val="22"/>
          <w:lang w:val="en-GB"/>
        </w:rPr>
        <w:t>order</w:t>
      </w:r>
      <w:r w:rsidRPr="005321D5">
        <w:rPr>
          <w:rFonts w:asciiTheme="minorHAnsi" w:hAnsiTheme="minorHAnsi" w:cstheme="minorHAnsi"/>
          <w:b/>
          <w:bCs/>
          <w:i/>
          <w:sz w:val="22"/>
          <w:szCs w:val="22"/>
          <w:lang w:val="en-GB"/>
        </w:rPr>
        <w:t xml:space="preserve"> to </w:t>
      </w:r>
      <w:r w:rsidRPr="005321D5">
        <w:rPr>
          <w:rFonts w:asciiTheme="minorHAnsi" w:hAnsiTheme="minorHAnsi" w:cstheme="minorHAnsi"/>
          <w:b/>
          <w:bCs/>
          <w:i/>
          <w:sz w:val="22"/>
          <w:szCs w:val="22"/>
          <w:lang w:val="en-GB"/>
        </w:rPr>
        <w:t xml:space="preserve">maximally </w:t>
      </w:r>
      <w:r w:rsidRPr="005321D5">
        <w:rPr>
          <w:rFonts w:asciiTheme="minorHAnsi" w:hAnsiTheme="minorHAnsi" w:cstheme="minorHAnsi"/>
          <w:b/>
          <w:bCs/>
          <w:i/>
          <w:sz w:val="22"/>
          <w:szCs w:val="22"/>
          <w:lang w:val="en-GB"/>
        </w:rPr>
        <w:t xml:space="preserve">prevent the sale </w:t>
      </w:r>
      <w:r w:rsidRPr="005321D5">
        <w:rPr>
          <w:rFonts w:asciiTheme="minorHAnsi" w:hAnsiTheme="minorHAnsi" w:cstheme="minorHAnsi"/>
          <w:b/>
          <w:bCs/>
          <w:i/>
          <w:sz w:val="22"/>
          <w:szCs w:val="22"/>
          <w:lang w:val="en-GB"/>
        </w:rPr>
        <w:t>of dangerous fireworks to juveniles</w:t>
      </w:r>
      <w:r w:rsidRPr="005321D5">
        <w:rPr>
          <w:rFonts w:asciiTheme="minorHAnsi" w:hAnsiTheme="minorHAnsi" w:cstheme="minorHAnsi"/>
          <w:b/>
          <w:bCs/>
          <w:i/>
          <w:sz w:val="22"/>
          <w:szCs w:val="22"/>
          <w:lang w:val="en-GB"/>
        </w:rPr>
        <w:t>,"</w:t>
      </w:r>
      <w:r w:rsidRPr="005321D5">
        <w:rPr>
          <w:rFonts w:asciiTheme="minorHAnsi" w:hAnsiTheme="minorHAnsi" w:cstheme="minorHAnsi"/>
          <w:b/>
          <w:bCs/>
          <w:sz w:val="22"/>
          <w:szCs w:val="22"/>
          <w:lang w:val="en-GB"/>
        </w:rPr>
        <w:t xml:space="preserve"> says </w:t>
      </w:r>
      <w:proofErr w:type="spellStart"/>
      <w:r w:rsidRPr="005321D5">
        <w:rPr>
          <w:rFonts w:asciiTheme="minorHAnsi" w:hAnsiTheme="minorHAnsi" w:cstheme="minorHAnsi"/>
          <w:b/>
          <w:bCs/>
          <w:sz w:val="22"/>
          <w:szCs w:val="22"/>
          <w:lang w:val="en-GB"/>
        </w:rPr>
        <w:t>Mojmír</w:t>
      </w:r>
      <w:proofErr w:type="spellEnd"/>
      <w:r w:rsidRPr="005321D5">
        <w:rPr>
          <w:rFonts w:asciiTheme="minorHAnsi" w:hAnsiTheme="minorHAnsi" w:cstheme="minorHAnsi"/>
          <w:b/>
          <w:bCs/>
          <w:sz w:val="22"/>
          <w:szCs w:val="22"/>
          <w:lang w:val="en-GB"/>
        </w:rPr>
        <w:t xml:space="preserve"> </w:t>
      </w:r>
      <w:proofErr w:type="spellStart"/>
      <w:r w:rsidRPr="005321D5">
        <w:rPr>
          <w:rFonts w:asciiTheme="minorHAnsi" w:hAnsiTheme="minorHAnsi" w:cstheme="minorHAnsi"/>
          <w:b/>
          <w:bCs/>
          <w:sz w:val="22"/>
          <w:szCs w:val="22"/>
          <w:lang w:val="en-GB"/>
        </w:rPr>
        <w:t>Bezecný</w:t>
      </w:r>
      <w:proofErr w:type="spellEnd"/>
      <w:r w:rsidRPr="005321D5">
        <w:rPr>
          <w:rFonts w:asciiTheme="minorHAnsi" w:hAnsiTheme="minorHAnsi" w:cstheme="minorHAnsi"/>
          <w:b/>
          <w:bCs/>
          <w:sz w:val="22"/>
          <w:szCs w:val="22"/>
          <w:lang w:val="en-GB"/>
        </w:rPr>
        <w:t>, Director of the C</w:t>
      </w:r>
      <w:r w:rsidRPr="005321D5">
        <w:rPr>
          <w:rFonts w:asciiTheme="minorHAnsi" w:hAnsiTheme="minorHAnsi" w:cstheme="minorHAnsi"/>
          <w:b/>
          <w:bCs/>
          <w:sz w:val="22"/>
          <w:szCs w:val="22"/>
          <w:lang w:val="en-GB"/>
        </w:rPr>
        <w:t>TIA</w:t>
      </w:r>
      <w:r w:rsidRPr="005321D5">
        <w:rPr>
          <w:rFonts w:asciiTheme="minorHAnsi" w:hAnsiTheme="minorHAnsi" w:cstheme="minorHAnsi"/>
          <w:b/>
          <w:bCs/>
          <w:sz w:val="22"/>
          <w:szCs w:val="22"/>
          <w:lang w:val="en-GB"/>
        </w:rPr>
        <w:t xml:space="preserve">. </w:t>
      </w:r>
    </w:p>
    <w:p w14:paraId="03BBA97A" w14:textId="5A6A8756" w:rsidR="006F3496" w:rsidRPr="005321D5" w:rsidRDefault="006F3496" w:rsidP="006F3496">
      <w:pPr>
        <w:pStyle w:val="Nzev"/>
        <w:spacing w:before="120" w:after="120" w:line="276" w:lineRule="auto"/>
        <w:jc w:val="both"/>
        <w:rPr>
          <w:rFonts w:asciiTheme="minorHAnsi" w:hAnsiTheme="minorHAnsi" w:cstheme="minorHAnsi"/>
          <w:bCs/>
          <w:sz w:val="22"/>
          <w:szCs w:val="22"/>
          <w:lang w:val="en-GB"/>
        </w:rPr>
      </w:pPr>
      <w:r w:rsidRPr="005321D5">
        <w:rPr>
          <w:rFonts w:asciiTheme="minorHAnsi" w:hAnsiTheme="minorHAnsi" w:cstheme="minorHAnsi"/>
          <w:bCs/>
          <w:sz w:val="22"/>
          <w:szCs w:val="22"/>
          <w:lang w:val="en-GB"/>
        </w:rPr>
        <w:t xml:space="preserve">Between 1 October and 31 December 2020, the Czech Trade Inspection Authority carried out inspections aimed at the </w:t>
      </w:r>
      <w:r w:rsidRPr="005321D5">
        <w:rPr>
          <w:rFonts w:asciiTheme="minorHAnsi" w:hAnsiTheme="minorHAnsi" w:cstheme="minorHAnsi"/>
          <w:bCs/>
          <w:sz w:val="22"/>
          <w:szCs w:val="22"/>
          <w:lang w:val="en-GB"/>
        </w:rPr>
        <w:t>offer</w:t>
      </w:r>
      <w:r w:rsidRPr="005321D5">
        <w:rPr>
          <w:rFonts w:asciiTheme="minorHAnsi" w:hAnsiTheme="minorHAnsi" w:cstheme="minorHAnsi"/>
          <w:bCs/>
          <w:sz w:val="22"/>
          <w:szCs w:val="22"/>
          <w:lang w:val="en-GB"/>
        </w:rPr>
        <w:t xml:space="preserve">, sale and storage of pyrotechnic articles. It carried out </w:t>
      </w:r>
      <w:proofErr w:type="gramStart"/>
      <w:r w:rsidRPr="005321D5">
        <w:rPr>
          <w:rFonts w:asciiTheme="minorHAnsi" w:hAnsiTheme="minorHAnsi" w:cstheme="minorHAnsi"/>
          <w:bCs/>
          <w:sz w:val="22"/>
          <w:szCs w:val="22"/>
          <w:lang w:val="en-GB"/>
        </w:rPr>
        <w:t>a total of 140</w:t>
      </w:r>
      <w:proofErr w:type="gramEnd"/>
      <w:r w:rsidRPr="005321D5">
        <w:rPr>
          <w:rFonts w:asciiTheme="minorHAnsi" w:hAnsiTheme="minorHAnsi" w:cstheme="minorHAnsi"/>
          <w:bCs/>
          <w:sz w:val="22"/>
          <w:szCs w:val="22"/>
          <w:lang w:val="en-GB"/>
        </w:rPr>
        <w:t xml:space="preserve"> inspections and found infringements of </w:t>
      </w:r>
      <w:r w:rsidRPr="005321D5">
        <w:rPr>
          <w:rFonts w:asciiTheme="minorHAnsi" w:hAnsiTheme="minorHAnsi" w:cstheme="minorHAnsi"/>
          <w:bCs/>
          <w:sz w:val="22"/>
          <w:szCs w:val="22"/>
          <w:lang w:val="en-GB"/>
        </w:rPr>
        <w:t>the Act</w:t>
      </w:r>
      <w:r w:rsidRPr="005321D5">
        <w:rPr>
          <w:rFonts w:asciiTheme="minorHAnsi" w:hAnsiTheme="minorHAnsi" w:cstheme="minorHAnsi"/>
          <w:bCs/>
          <w:sz w:val="22"/>
          <w:szCs w:val="22"/>
          <w:lang w:val="en-GB"/>
        </w:rPr>
        <w:t xml:space="preserve"> No.  206/2015 Coll., </w:t>
      </w:r>
      <w:r w:rsidRPr="005321D5">
        <w:rPr>
          <w:rFonts w:asciiTheme="minorHAnsi" w:hAnsiTheme="minorHAnsi" w:cstheme="minorHAnsi"/>
          <w:bCs/>
          <w:sz w:val="22"/>
          <w:szCs w:val="22"/>
          <w:lang w:val="en-GB"/>
        </w:rPr>
        <w:t>in the</w:t>
      </w:r>
      <w:r w:rsidRPr="005321D5">
        <w:rPr>
          <w:rFonts w:asciiTheme="minorHAnsi" w:hAnsiTheme="minorHAnsi" w:cstheme="minorHAnsi"/>
          <w:bCs/>
          <w:sz w:val="22"/>
          <w:szCs w:val="22"/>
          <w:lang w:val="en-GB"/>
        </w:rPr>
        <w:t xml:space="preserve"> </w:t>
      </w:r>
      <w:proofErr w:type="gramStart"/>
      <w:r w:rsidRPr="005321D5">
        <w:rPr>
          <w:rFonts w:asciiTheme="minorHAnsi" w:hAnsiTheme="minorHAnsi" w:cstheme="minorHAnsi"/>
          <w:bCs/>
          <w:sz w:val="22"/>
          <w:szCs w:val="22"/>
          <w:lang w:val="en-GB"/>
        </w:rPr>
        <w:t>total of 23</w:t>
      </w:r>
      <w:proofErr w:type="gramEnd"/>
      <w:r w:rsidRPr="005321D5">
        <w:rPr>
          <w:rFonts w:asciiTheme="minorHAnsi" w:hAnsiTheme="minorHAnsi" w:cstheme="minorHAnsi"/>
          <w:bCs/>
          <w:sz w:val="22"/>
          <w:szCs w:val="22"/>
          <w:lang w:val="en-GB"/>
        </w:rPr>
        <w:t xml:space="preserve"> cases. </w:t>
      </w:r>
    </w:p>
    <w:p w14:paraId="0E3BEB57" w14:textId="2236C5B9" w:rsidR="006F3496" w:rsidRPr="005321D5" w:rsidRDefault="006F3496" w:rsidP="006F3496">
      <w:pPr>
        <w:pStyle w:val="Nzev"/>
        <w:spacing w:before="120" w:after="120" w:line="276" w:lineRule="auto"/>
        <w:jc w:val="both"/>
        <w:rPr>
          <w:rFonts w:asciiTheme="minorHAnsi" w:hAnsiTheme="minorHAnsi" w:cstheme="minorHAnsi"/>
          <w:bCs/>
          <w:sz w:val="22"/>
          <w:szCs w:val="22"/>
          <w:lang w:val="en-GB"/>
        </w:rPr>
      </w:pPr>
      <w:r w:rsidRPr="005321D5">
        <w:rPr>
          <w:rFonts w:asciiTheme="minorHAnsi" w:hAnsiTheme="minorHAnsi" w:cstheme="minorHAnsi"/>
          <w:bCs/>
          <w:sz w:val="22"/>
          <w:szCs w:val="22"/>
          <w:lang w:val="en-GB"/>
        </w:rPr>
        <w:t xml:space="preserve">Market monitoring has also confirmed the trend of reducing the number of entities selling fireworks as </w:t>
      </w:r>
      <w:r w:rsidRPr="005321D5">
        <w:rPr>
          <w:rFonts w:asciiTheme="minorHAnsi" w:hAnsiTheme="minorHAnsi" w:cstheme="minorHAnsi"/>
          <w:bCs/>
          <w:sz w:val="22"/>
          <w:szCs w:val="22"/>
          <w:lang w:val="en-GB"/>
        </w:rPr>
        <w:t xml:space="preserve">a </w:t>
      </w:r>
      <w:r w:rsidRPr="005321D5">
        <w:rPr>
          <w:rFonts w:asciiTheme="minorHAnsi" w:hAnsiTheme="minorHAnsi" w:cstheme="minorHAnsi"/>
          <w:bCs/>
          <w:sz w:val="22"/>
          <w:szCs w:val="22"/>
          <w:lang w:val="en-GB"/>
        </w:rPr>
        <w:t>part of complementary sales.</w:t>
      </w:r>
    </w:p>
    <w:p w14:paraId="404041A4" w14:textId="0ABF4B17" w:rsidR="006F3496" w:rsidRPr="005321D5" w:rsidRDefault="006F3496" w:rsidP="006F3496">
      <w:pPr>
        <w:pStyle w:val="Nzev"/>
        <w:spacing w:before="120" w:after="120" w:line="276" w:lineRule="auto"/>
        <w:jc w:val="both"/>
        <w:rPr>
          <w:rFonts w:asciiTheme="minorHAnsi" w:hAnsiTheme="minorHAnsi" w:cstheme="minorHAnsi"/>
          <w:sz w:val="22"/>
          <w:szCs w:val="22"/>
          <w:lang w:val="en-GB"/>
        </w:rPr>
      </w:pPr>
      <w:proofErr w:type="gramStart"/>
      <w:r w:rsidRPr="005321D5">
        <w:rPr>
          <w:rFonts w:asciiTheme="minorHAnsi" w:hAnsiTheme="minorHAnsi" w:cstheme="minorHAnsi"/>
          <w:sz w:val="22"/>
          <w:szCs w:val="22"/>
          <w:lang w:val="en-GB"/>
        </w:rPr>
        <w:t>The issue of fireworks is further regulated by Act No. 206/2015 Coll., on pyrotechnic articles and their handling and on the amendment of certain laws (Pyrotechnics Act), which regulates the rules designed to achieve the free mo</w:t>
      </w:r>
      <w:r w:rsidRPr="005321D5">
        <w:rPr>
          <w:rFonts w:asciiTheme="minorHAnsi" w:hAnsiTheme="minorHAnsi" w:cstheme="minorHAnsi"/>
          <w:sz w:val="22"/>
          <w:szCs w:val="22"/>
          <w:lang w:val="en-GB"/>
        </w:rPr>
        <w:t>vement of pyrotechnic articles i</w:t>
      </w:r>
      <w:r w:rsidRPr="005321D5">
        <w:rPr>
          <w:rFonts w:asciiTheme="minorHAnsi" w:hAnsiTheme="minorHAnsi" w:cstheme="minorHAnsi"/>
          <w:sz w:val="22"/>
          <w:szCs w:val="22"/>
          <w:lang w:val="en-GB"/>
        </w:rPr>
        <w:t>n the internal market, the essential safety requirements that pyrotechnic articles must meet before they are made available on the market, and other requirements to ensure the protection of human life, health, property, public safety, including the protection and safety of consumers, taking into account the interest in environmental protection.</w:t>
      </w:r>
      <w:proofErr w:type="gramEnd"/>
      <w:r w:rsidRPr="005321D5">
        <w:rPr>
          <w:rFonts w:asciiTheme="minorHAnsi" w:hAnsiTheme="minorHAnsi" w:cstheme="minorHAnsi"/>
          <w:sz w:val="22"/>
          <w:szCs w:val="22"/>
          <w:lang w:val="en-GB"/>
        </w:rPr>
        <w:t xml:space="preserve"> </w:t>
      </w:r>
    </w:p>
    <w:p w14:paraId="7C230E76" w14:textId="0F341B90" w:rsidR="006F3496" w:rsidRPr="005321D5" w:rsidRDefault="006F3496" w:rsidP="006F3496">
      <w:pPr>
        <w:pStyle w:val="Nzev"/>
        <w:spacing w:before="120" w:after="120" w:line="276" w:lineRule="auto"/>
        <w:jc w:val="both"/>
        <w:rPr>
          <w:rFonts w:asciiTheme="minorHAnsi" w:hAnsiTheme="minorHAnsi" w:cstheme="minorHAnsi"/>
          <w:sz w:val="22"/>
          <w:szCs w:val="22"/>
          <w:lang w:val="en-GB"/>
        </w:rPr>
      </w:pPr>
      <w:r w:rsidRPr="005321D5">
        <w:rPr>
          <w:rFonts w:asciiTheme="minorHAnsi" w:hAnsiTheme="minorHAnsi" w:cstheme="minorHAnsi"/>
          <w:sz w:val="22"/>
          <w:szCs w:val="22"/>
          <w:lang w:val="en-GB"/>
        </w:rPr>
        <w:t xml:space="preserve">Part of the inspection was </w:t>
      </w:r>
      <w:r w:rsidRPr="005321D5">
        <w:rPr>
          <w:rFonts w:asciiTheme="minorHAnsi" w:hAnsiTheme="minorHAnsi" w:cstheme="minorHAnsi"/>
          <w:sz w:val="22"/>
          <w:szCs w:val="22"/>
          <w:lang w:val="en-GB"/>
        </w:rPr>
        <w:t>the inspection of</w:t>
      </w:r>
      <w:r w:rsidRPr="005321D5">
        <w:rPr>
          <w:rFonts w:asciiTheme="minorHAnsi" w:hAnsiTheme="minorHAnsi" w:cstheme="minorHAnsi"/>
          <w:sz w:val="22"/>
          <w:szCs w:val="22"/>
          <w:lang w:val="en-GB"/>
        </w:rPr>
        <w:t xml:space="preserve"> compliance with other legislation, in particular Act No. 634/1992 Coll., on Consumer Protection, which </w:t>
      </w:r>
      <w:proofErr w:type="gramStart"/>
      <w:r w:rsidRPr="005321D5">
        <w:rPr>
          <w:rFonts w:asciiTheme="minorHAnsi" w:hAnsiTheme="minorHAnsi" w:cstheme="minorHAnsi"/>
          <w:sz w:val="22"/>
          <w:szCs w:val="22"/>
          <w:lang w:val="en-GB"/>
        </w:rPr>
        <w:t>was violated</w:t>
      </w:r>
      <w:proofErr w:type="gramEnd"/>
      <w:r w:rsidRPr="005321D5">
        <w:rPr>
          <w:rFonts w:asciiTheme="minorHAnsi" w:hAnsiTheme="minorHAnsi" w:cstheme="minorHAnsi"/>
          <w:sz w:val="22"/>
          <w:szCs w:val="22"/>
          <w:lang w:val="en-GB"/>
        </w:rPr>
        <w:t xml:space="preserve"> in 47 cases.</w:t>
      </w:r>
    </w:p>
    <w:p w14:paraId="67EEB58F" w14:textId="19EFD5D5" w:rsidR="006F3496" w:rsidRPr="005321D5" w:rsidRDefault="006F3496" w:rsidP="006F3496">
      <w:pPr>
        <w:pStyle w:val="Nzev"/>
        <w:spacing w:before="120" w:after="120" w:line="276" w:lineRule="auto"/>
        <w:jc w:val="both"/>
        <w:rPr>
          <w:rFonts w:asciiTheme="minorHAnsi" w:hAnsiTheme="minorHAnsi" w:cstheme="minorHAnsi"/>
          <w:sz w:val="22"/>
          <w:szCs w:val="22"/>
          <w:lang w:val="en-GB"/>
        </w:rPr>
      </w:pPr>
      <w:r w:rsidRPr="005321D5">
        <w:rPr>
          <w:rFonts w:asciiTheme="minorHAnsi" w:hAnsiTheme="minorHAnsi" w:cstheme="minorHAnsi"/>
          <w:sz w:val="22"/>
          <w:szCs w:val="22"/>
          <w:lang w:val="en-GB"/>
        </w:rPr>
        <w:t xml:space="preserve">The Czech Trade Inspection Authority cooperated in two cases with the Police of the Czech Republic as </w:t>
      </w:r>
      <w:r w:rsidRPr="005321D5">
        <w:rPr>
          <w:rFonts w:asciiTheme="minorHAnsi" w:hAnsiTheme="minorHAnsi" w:cstheme="minorHAnsi"/>
          <w:sz w:val="22"/>
          <w:szCs w:val="22"/>
          <w:lang w:val="en-GB"/>
        </w:rPr>
        <w:t xml:space="preserve">a </w:t>
      </w:r>
      <w:r w:rsidRPr="005321D5">
        <w:rPr>
          <w:rFonts w:asciiTheme="minorHAnsi" w:hAnsiTheme="minorHAnsi" w:cstheme="minorHAnsi"/>
          <w:sz w:val="22"/>
          <w:szCs w:val="22"/>
          <w:lang w:val="en-GB"/>
        </w:rPr>
        <w:t>part of this inspection action.</w:t>
      </w:r>
    </w:p>
    <w:p w14:paraId="2E247D96" w14:textId="041B1D2C" w:rsidR="006F3496" w:rsidRPr="005321D5" w:rsidRDefault="006F3496" w:rsidP="006F3496">
      <w:pPr>
        <w:pStyle w:val="Nzev"/>
        <w:spacing w:before="120" w:after="120" w:line="276" w:lineRule="auto"/>
        <w:jc w:val="both"/>
        <w:rPr>
          <w:rFonts w:asciiTheme="minorHAnsi" w:hAnsiTheme="minorHAnsi" w:cstheme="minorHAnsi"/>
          <w:sz w:val="22"/>
          <w:szCs w:val="22"/>
          <w:lang w:val="en-GB"/>
        </w:rPr>
      </w:pPr>
      <w:r w:rsidRPr="005321D5">
        <w:rPr>
          <w:rFonts w:asciiTheme="minorHAnsi" w:hAnsiTheme="minorHAnsi" w:cstheme="minorHAnsi"/>
          <w:sz w:val="22"/>
          <w:szCs w:val="22"/>
          <w:lang w:val="en-GB"/>
        </w:rPr>
        <w:t xml:space="preserve">The </w:t>
      </w:r>
      <w:r w:rsidRPr="005321D5">
        <w:rPr>
          <w:rFonts w:asciiTheme="minorHAnsi" w:hAnsiTheme="minorHAnsi" w:cstheme="minorHAnsi"/>
          <w:sz w:val="22"/>
          <w:szCs w:val="22"/>
          <w:lang w:val="en-GB"/>
        </w:rPr>
        <w:t>inspection</w:t>
      </w:r>
      <w:r w:rsidRPr="005321D5">
        <w:rPr>
          <w:rFonts w:asciiTheme="minorHAnsi" w:hAnsiTheme="minorHAnsi" w:cstheme="minorHAnsi"/>
          <w:sz w:val="22"/>
          <w:szCs w:val="22"/>
          <w:lang w:val="en-GB"/>
        </w:rPr>
        <w:t xml:space="preserve"> activity was significantly influenced by the epidemiological situation and related measures of the Government of the Czech Republic, which had an impact on the reduction of the number of inspections, especially in </w:t>
      </w:r>
      <w:r w:rsidRPr="005321D5">
        <w:rPr>
          <w:rFonts w:asciiTheme="minorHAnsi" w:hAnsiTheme="minorHAnsi" w:cstheme="minorHAnsi"/>
          <w:sz w:val="22"/>
          <w:szCs w:val="22"/>
          <w:lang w:val="en-GB"/>
        </w:rPr>
        <w:t>ordinary</w:t>
      </w:r>
      <w:r w:rsidRPr="005321D5">
        <w:rPr>
          <w:rFonts w:asciiTheme="minorHAnsi" w:hAnsiTheme="minorHAnsi" w:cstheme="minorHAnsi"/>
          <w:sz w:val="22"/>
          <w:szCs w:val="22"/>
          <w:lang w:val="en-GB"/>
        </w:rPr>
        <w:t xml:space="preserve"> stores.</w:t>
      </w:r>
    </w:p>
    <w:p w14:paraId="4C67E9DD" w14:textId="200E6120" w:rsidR="00F874F8" w:rsidRPr="005321D5" w:rsidRDefault="00F874F8" w:rsidP="00F874F8">
      <w:pPr>
        <w:tabs>
          <w:tab w:val="left" w:pos="9214"/>
        </w:tabs>
        <w:spacing w:line="276" w:lineRule="auto"/>
        <w:jc w:val="both"/>
        <w:rPr>
          <w:rFonts w:asciiTheme="minorHAnsi" w:eastAsiaTheme="minorHAnsi" w:hAnsiTheme="minorHAnsi" w:cstheme="minorHAnsi"/>
          <w:sz w:val="22"/>
          <w:szCs w:val="22"/>
          <w:lang w:val="en-GB"/>
        </w:rPr>
      </w:pPr>
    </w:p>
    <w:p w14:paraId="62B0DD38" w14:textId="77777777" w:rsidR="008D09CD" w:rsidRPr="005321D5" w:rsidRDefault="008D09CD" w:rsidP="00F874F8">
      <w:pPr>
        <w:tabs>
          <w:tab w:val="left" w:pos="9214"/>
        </w:tabs>
        <w:spacing w:line="276" w:lineRule="auto"/>
        <w:jc w:val="both"/>
        <w:rPr>
          <w:rFonts w:asciiTheme="minorHAnsi" w:eastAsiaTheme="minorHAnsi" w:hAnsiTheme="minorHAnsi" w:cstheme="minorHAnsi"/>
          <w:sz w:val="22"/>
          <w:szCs w:val="22"/>
          <w:lang w:val="en-GB"/>
        </w:rPr>
      </w:pPr>
    </w:p>
    <w:tbl>
      <w:tblPr>
        <w:tblW w:w="9160" w:type="dxa"/>
        <w:tblCellMar>
          <w:left w:w="70" w:type="dxa"/>
          <w:right w:w="70" w:type="dxa"/>
        </w:tblCellMar>
        <w:tblLook w:val="04A0" w:firstRow="1" w:lastRow="0" w:firstColumn="1" w:lastColumn="0" w:noHBand="0" w:noVBand="1"/>
      </w:tblPr>
      <w:tblGrid>
        <w:gridCol w:w="3360"/>
        <w:gridCol w:w="1900"/>
        <w:gridCol w:w="1760"/>
        <w:gridCol w:w="2140"/>
      </w:tblGrid>
      <w:tr w:rsidR="00F874F8" w:rsidRPr="005321D5" w14:paraId="59F44E2D" w14:textId="77777777" w:rsidTr="00B31B6D">
        <w:trPr>
          <w:trHeight w:val="342"/>
        </w:trPr>
        <w:tc>
          <w:tcPr>
            <w:tcW w:w="3360" w:type="dxa"/>
            <w:vMerge w:val="restart"/>
            <w:tcBorders>
              <w:top w:val="single" w:sz="8" w:space="0" w:color="auto"/>
              <w:left w:val="single" w:sz="8" w:space="0" w:color="auto"/>
              <w:bottom w:val="double" w:sz="6" w:space="0" w:color="000000"/>
              <w:right w:val="single" w:sz="4" w:space="0" w:color="auto"/>
            </w:tcBorders>
            <w:shd w:val="clear" w:color="000000" w:fill="C5D9F1"/>
            <w:noWrap/>
            <w:vAlign w:val="center"/>
            <w:hideMark/>
          </w:tcPr>
          <w:p w14:paraId="4983B015" w14:textId="7A3FD795" w:rsidR="00F874F8" w:rsidRPr="005321D5" w:rsidRDefault="006F3496" w:rsidP="00F874F8">
            <w:pPr>
              <w:spacing w:line="276" w:lineRule="auto"/>
              <w:jc w:val="center"/>
              <w:rPr>
                <w:rFonts w:asciiTheme="minorHAnsi" w:hAnsiTheme="minorHAnsi" w:cstheme="minorHAnsi"/>
                <w:b/>
                <w:bCs/>
                <w:color w:val="000000"/>
                <w:sz w:val="22"/>
                <w:szCs w:val="22"/>
                <w:lang w:val="en-GB"/>
              </w:rPr>
            </w:pPr>
            <w:r w:rsidRPr="005321D5">
              <w:rPr>
                <w:rFonts w:asciiTheme="minorHAnsi" w:hAnsiTheme="minorHAnsi" w:cstheme="minorHAnsi"/>
                <w:b/>
                <w:bCs/>
                <w:color w:val="000000"/>
                <w:sz w:val="22"/>
                <w:szCs w:val="22"/>
                <w:lang w:val="en-GB"/>
              </w:rPr>
              <w:lastRenderedPageBreak/>
              <w:t>Inspectorate</w:t>
            </w:r>
          </w:p>
        </w:tc>
        <w:tc>
          <w:tcPr>
            <w:tcW w:w="1900" w:type="dxa"/>
            <w:vMerge w:val="restart"/>
            <w:tcBorders>
              <w:top w:val="single" w:sz="8" w:space="0" w:color="auto"/>
              <w:left w:val="single" w:sz="4" w:space="0" w:color="auto"/>
              <w:bottom w:val="double" w:sz="6" w:space="0" w:color="000000"/>
              <w:right w:val="single" w:sz="4" w:space="0" w:color="auto"/>
            </w:tcBorders>
            <w:shd w:val="clear" w:color="000000" w:fill="C5D9F1"/>
            <w:noWrap/>
            <w:vAlign w:val="center"/>
            <w:hideMark/>
          </w:tcPr>
          <w:p w14:paraId="5C06E593" w14:textId="06CFCB2F" w:rsidR="00F874F8" w:rsidRPr="005321D5" w:rsidRDefault="006F3496" w:rsidP="00F874F8">
            <w:pPr>
              <w:spacing w:line="276" w:lineRule="auto"/>
              <w:jc w:val="center"/>
              <w:rPr>
                <w:rFonts w:asciiTheme="minorHAnsi" w:hAnsiTheme="minorHAnsi" w:cstheme="minorHAnsi"/>
                <w:b/>
                <w:bCs/>
                <w:color w:val="000000"/>
                <w:sz w:val="22"/>
                <w:szCs w:val="22"/>
                <w:lang w:val="en-GB"/>
              </w:rPr>
            </w:pPr>
            <w:r w:rsidRPr="005321D5">
              <w:rPr>
                <w:rFonts w:asciiTheme="minorHAnsi" w:hAnsiTheme="minorHAnsi" w:cstheme="minorHAnsi"/>
                <w:b/>
                <w:bCs/>
                <w:color w:val="000000"/>
                <w:sz w:val="22"/>
                <w:szCs w:val="22"/>
                <w:lang w:val="en-GB"/>
              </w:rPr>
              <w:t>Number of inspections</w:t>
            </w:r>
          </w:p>
        </w:tc>
        <w:tc>
          <w:tcPr>
            <w:tcW w:w="1760" w:type="dxa"/>
            <w:vMerge w:val="restart"/>
            <w:tcBorders>
              <w:top w:val="single" w:sz="8" w:space="0" w:color="auto"/>
              <w:left w:val="single" w:sz="4" w:space="0" w:color="auto"/>
              <w:bottom w:val="double" w:sz="6" w:space="0" w:color="000000"/>
              <w:right w:val="nil"/>
            </w:tcBorders>
            <w:shd w:val="clear" w:color="000000" w:fill="C5D9F1"/>
            <w:noWrap/>
            <w:vAlign w:val="center"/>
            <w:hideMark/>
          </w:tcPr>
          <w:p w14:paraId="0FA23157" w14:textId="330F6DB5" w:rsidR="00F874F8" w:rsidRPr="005321D5" w:rsidRDefault="006F3496" w:rsidP="00F874F8">
            <w:pPr>
              <w:spacing w:line="276" w:lineRule="auto"/>
              <w:jc w:val="center"/>
              <w:rPr>
                <w:rFonts w:asciiTheme="minorHAnsi" w:hAnsiTheme="minorHAnsi" w:cstheme="minorHAnsi"/>
                <w:b/>
                <w:bCs/>
                <w:color w:val="000000"/>
                <w:sz w:val="22"/>
                <w:szCs w:val="22"/>
                <w:lang w:val="en-GB"/>
              </w:rPr>
            </w:pPr>
            <w:r w:rsidRPr="005321D5">
              <w:rPr>
                <w:rFonts w:asciiTheme="minorHAnsi" w:hAnsiTheme="minorHAnsi" w:cstheme="minorHAnsi"/>
                <w:b/>
                <w:bCs/>
                <w:color w:val="000000"/>
                <w:sz w:val="22"/>
                <w:szCs w:val="22"/>
                <w:lang w:val="en-GB"/>
              </w:rPr>
              <w:t>Inspections with findings</w:t>
            </w:r>
          </w:p>
        </w:tc>
        <w:tc>
          <w:tcPr>
            <w:tcW w:w="2140" w:type="dxa"/>
            <w:vMerge w:val="restart"/>
            <w:tcBorders>
              <w:top w:val="single" w:sz="8" w:space="0" w:color="auto"/>
              <w:left w:val="single" w:sz="4" w:space="0" w:color="auto"/>
              <w:bottom w:val="double" w:sz="6" w:space="0" w:color="000000"/>
              <w:right w:val="single" w:sz="8" w:space="0" w:color="auto"/>
            </w:tcBorders>
            <w:shd w:val="clear" w:color="000000" w:fill="C5D9F1"/>
            <w:noWrap/>
            <w:vAlign w:val="center"/>
            <w:hideMark/>
          </w:tcPr>
          <w:p w14:paraId="5C4B9086" w14:textId="5AE02616" w:rsidR="00F874F8" w:rsidRPr="005321D5" w:rsidRDefault="006F3496" w:rsidP="00F874F8">
            <w:pPr>
              <w:spacing w:line="276" w:lineRule="auto"/>
              <w:jc w:val="center"/>
              <w:rPr>
                <w:rFonts w:asciiTheme="minorHAnsi" w:hAnsiTheme="minorHAnsi" w:cstheme="minorHAnsi"/>
                <w:b/>
                <w:bCs/>
                <w:color w:val="000000"/>
                <w:sz w:val="22"/>
                <w:szCs w:val="22"/>
                <w:lang w:val="en-GB"/>
              </w:rPr>
            </w:pPr>
            <w:r w:rsidRPr="005321D5">
              <w:rPr>
                <w:rFonts w:asciiTheme="minorHAnsi" w:hAnsiTheme="minorHAnsi" w:cstheme="minorHAnsi"/>
                <w:b/>
                <w:bCs/>
                <w:color w:val="000000"/>
                <w:sz w:val="22"/>
                <w:szCs w:val="22"/>
                <w:lang w:val="en-GB"/>
              </w:rPr>
              <w:t>Findings in %</w:t>
            </w:r>
          </w:p>
        </w:tc>
      </w:tr>
      <w:tr w:rsidR="00F874F8" w:rsidRPr="005321D5" w14:paraId="61462194" w14:textId="77777777" w:rsidTr="00B31B6D">
        <w:trPr>
          <w:trHeight w:val="509"/>
        </w:trPr>
        <w:tc>
          <w:tcPr>
            <w:tcW w:w="3360" w:type="dxa"/>
            <w:vMerge/>
            <w:tcBorders>
              <w:top w:val="single" w:sz="8" w:space="0" w:color="auto"/>
              <w:left w:val="single" w:sz="8" w:space="0" w:color="auto"/>
              <w:bottom w:val="double" w:sz="6" w:space="0" w:color="000000"/>
              <w:right w:val="single" w:sz="4" w:space="0" w:color="auto"/>
            </w:tcBorders>
            <w:vAlign w:val="center"/>
            <w:hideMark/>
          </w:tcPr>
          <w:p w14:paraId="0C680AF6" w14:textId="77777777" w:rsidR="00F874F8" w:rsidRPr="005321D5" w:rsidRDefault="00F874F8" w:rsidP="00F874F8">
            <w:pPr>
              <w:spacing w:line="276" w:lineRule="auto"/>
              <w:rPr>
                <w:rFonts w:asciiTheme="minorHAnsi" w:hAnsiTheme="minorHAnsi" w:cstheme="minorHAnsi"/>
                <w:b/>
                <w:bCs/>
                <w:color w:val="000000"/>
                <w:sz w:val="20"/>
                <w:szCs w:val="20"/>
                <w:lang w:val="en-GB"/>
              </w:rPr>
            </w:pPr>
          </w:p>
        </w:tc>
        <w:tc>
          <w:tcPr>
            <w:tcW w:w="1900" w:type="dxa"/>
            <w:vMerge/>
            <w:tcBorders>
              <w:top w:val="single" w:sz="8" w:space="0" w:color="auto"/>
              <w:left w:val="single" w:sz="4" w:space="0" w:color="auto"/>
              <w:bottom w:val="double" w:sz="6" w:space="0" w:color="000000"/>
              <w:right w:val="single" w:sz="4" w:space="0" w:color="auto"/>
            </w:tcBorders>
            <w:vAlign w:val="center"/>
            <w:hideMark/>
          </w:tcPr>
          <w:p w14:paraId="0E794774" w14:textId="77777777" w:rsidR="00F874F8" w:rsidRPr="005321D5" w:rsidRDefault="00F874F8" w:rsidP="00F874F8">
            <w:pPr>
              <w:spacing w:line="276" w:lineRule="auto"/>
              <w:rPr>
                <w:rFonts w:asciiTheme="minorHAnsi" w:hAnsiTheme="minorHAnsi" w:cstheme="minorHAnsi"/>
                <w:b/>
                <w:bCs/>
                <w:color w:val="000000"/>
                <w:sz w:val="20"/>
                <w:szCs w:val="20"/>
                <w:lang w:val="en-GB"/>
              </w:rPr>
            </w:pPr>
          </w:p>
        </w:tc>
        <w:tc>
          <w:tcPr>
            <w:tcW w:w="1760" w:type="dxa"/>
            <w:vMerge/>
            <w:tcBorders>
              <w:top w:val="single" w:sz="8" w:space="0" w:color="auto"/>
              <w:left w:val="single" w:sz="4" w:space="0" w:color="auto"/>
              <w:bottom w:val="double" w:sz="6" w:space="0" w:color="000000"/>
              <w:right w:val="nil"/>
            </w:tcBorders>
            <w:vAlign w:val="center"/>
            <w:hideMark/>
          </w:tcPr>
          <w:p w14:paraId="5DB6D693" w14:textId="77777777" w:rsidR="00F874F8" w:rsidRPr="005321D5" w:rsidRDefault="00F874F8" w:rsidP="00F874F8">
            <w:pPr>
              <w:spacing w:line="276" w:lineRule="auto"/>
              <w:rPr>
                <w:rFonts w:asciiTheme="minorHAnsi" w:hAnsiTheme="minorHAnsi" w:cstheme="minorHAnsi"/>
                <w:b/>
                <w:bCs/>
                <w:color w:val="000000"/>
                <w:sz w:val="20"/>
                <w:szCs w:val="20"/>
                <w:lang w:val="en-GB"/>
              </w:rPr>
            </w:pPr>
          </w:p>
        </w:tc>
        <w:tc>
          <w:tcPr>
            <w:tcW w:w="2140" w:type="dxa"/>
            <w:vMerge/>
            <w:tcBorders>
              <w:top w:val="single" w:sz="8" w:space="0" w:color="auto"/>
              <w:left w:val="single" w:sz="4" w:space="0" w:color="auto"/>
              <w:bottom w:val="double" w:sz="6" w:space="0" w:color="000000"/>
              <w:right w:val="single" w:sz="8" w:space="0" w:color="auto"/>
            </w:tcBorders>
            <w:vAlign w:val="center"/>
            <w:hideMark/>
          </w:tcPr>
          <w:p w14:paraId="4A52B066" w14:textId="77777777" w:rsidR="00F874F8" w:rsidRPr="005321D5" w:rsidRDefault="00F874F8" w:rsidP="00F874F8">
            <w:pPr>
              <w:spacing w:line="276" w:lineRule="auto"/>
              <w:rPr>
                <w:rFonts w:asciiTheme="minorHAnsi" w:hAnsiTheme="minorHAnsi" w:cstheme="minorHAnsi"/>
                <w:b/>
                <w:bCs/>
                <w:color w:val="000000"/>
                <w:sz w:val="20"/>
                <w:szCs w:val="20"/>
                <w:lang w:val="en-GB"/>
              </w:rPr>
            </w:pPr>
          </w:p>
        </w:tc>
      </w:tr>
      <w:tr w:rsidR="00F874F8" w:rsidRPr="005321D5" w14:paraId="4C0CD8AC" w14:textId="77777777" w:rsidTr="00B31B6D">
        <w:trPr>
          <w:trHeight w:val="300"/>
        </w:trPr>
        <w:tc>
          <w:tcPr>
            <w:tcW w:w="3360" w:type="dxa"/>
            <w:tcBorders>
              <w:top w:val="nil"/>
              <w:left w:val="single" w:sz="8" w:space="0" w:color="auto"/>
              <w:bottom w:val="single" w:sz="4" w:space="0" w:color="auto"/>
              <w:right w:val="single" w:sz="4" w:space="0" w:color="auto"/>
            </w:tcBorders>
            <w:shd w:val="clear" w:color="000000" w:fill="DCE6F1"/>
            <w:noWrap/>
            <w:vAlign w:val="center"/>
            <w:hideMark/>
          </w:tcPr>
          <w:p w14:paraId="5A831384" w14:textId="7DB3830F" w:rsidR="00F874F8" w:rsidRPr="005321D5" w:rsidRDefault="00F874F8" w:rsidP="006F3496">
            <w:pPr>
              <w:spacing w:line="276" w:lineRule="auto"/>
              <w:ind w:firstLineChars="100" w:firstLine="200"/>
              <w:rPr>
                <w:rFonts w:asciiTheme="minorHAnsi" w:hAnsiTheme="minorHAnsi" w:cstheme="minorHAnsi"/>
                <w:color w:val="000000"/>
                <w:sz w:val="20"/>
                <w:szCs w:val="20"/>
                <w:lang w:val="en-GB"/>
              </w:rPr>
            </w:pPr>
            <w:r w:rsidRPr="005321D5">
              <w:rPr>
                <w:rFonts w:asciiTheme="minorHAnsi" w:hAnsiTheme="minorHAnsi" w:cstheme="minorHAnsi"/>
                <w:color w:val="000000"/>
                <w:sz w:val="20"/>
                <w:szCs w:val="20"/>
                <w:lang w:val="en-GB"/>
              </w:rPr>
              <w:t>Středočeský a</w:t>
            </w:r>
            <w:r w:rsidR="006F3496" w:rsidRPr="005321D5">
              <w:rPr>
                <w:rFonts w:asciiTheme="minorHAnsi" w:hAnsiTheme="minorHAnsi" w:cstheme="minorHAnsi"/>
                <w:color w:val="000000"/>
                <w:sz w:val="20"/>
                <w:szCs w:val="20"/>
                <w:lang w:val="en-GB"/>
              </w:rPr>
              <w:t>nd Prague</w:t>
            </w:r>
          </w:p>
        </w:tc>
        <w:tc>
          <w:tcPr>
            <w:tcW w:w="1900" w:type="dxa"/>
            <w:tcBorders>
              <w:top w:val="nil"/>
              <w:left w:val="nil"/>
              <w:bottom w:val="single" w:sz="4" w:space="0" w:color="auto"/>
              <w:right w:val="single" w:sz="4" w:space="0" w:color="auto"/>
            </w:tcBorders>
            <w:shd w:val="clear" w:color="000000" w:fill="DCE6F1"/>
            <w:noWrap/>
            <w:vAlign w:val="center"/>
            <w:hideMark/>
          </w:tcPr>
          <w:p w14:paraId="7190863E" w14:textId="77777777" w:rsidR="00F874F8" w:rsidRPr="005321D5" w:rsidRDefault="00F874F8" w:rsidP="00F874F8">
            <w:pPr>
              <w:spacing w:line="276" w:lineRule="auto"/>
              <w:jc w:val="center"/>
              <w:rPr>
                <w:rFonts w:asciiTheme="minorHAnsi" w:hAnsiTheme="minorHAnsi" w:cstheme="minorHAnsi"/>
                <w:color w:val="000000"/>
                <w:sz w:val="20"/>
                <w:szCs w:val="20"/>
                <w:lang w:val="en-GB"/>
              </w:rPr>
            </w:pPr>
            <w:r w:rsidRPr="005321D5">
              <w:rPr>
                <w:rFonts w:asciiTheme="minorHAnsi" w:hAnsiTheme="minorHAnsi" w:cstheme="minorHAnsi"/>
                <w:color w:val="000000"/>
                <w:sz w:val="20"/>
                <w:szCs w:val="20"/>
                <w:lang w:val="en-GB"/>
              </w:rPr>
              <w:t>0</w:t>
            </w:r>
          </w:p>
        </w:tc>
        <w:tc>
          <w:tcPr>
            <w:tcW w:w="1760" w:type="dxa"/>
            <w:tcBorders>
              <w:top w:val="nil"/>
              <w:left w:val="nil"/>
              <w:bottom w:val="single" w:sz="4" w:space="0" w:color="auto"/>
              <w:right w:val="nil"/>
            </w:tcBorders>
            <w:shd w:val="clear" w:color="000000" w:fill="DCE6F1"/>
            <w:noWrap/>
            <w:vAlign w:val="center"/>
            <w:hideMark/>
          </w:tcPr>
          <w:p w14:paraId="507AE9D0" w14:textId="77777777" w:rsidR="00F874F8" w:rsidRPr="005321D5" w:rsidRDefault="00F874F8" w:rsidP="00F874F8">
            <w:pPr>
              <w:spacing w:line="276" w:lineRule="auto"/>
              <w:jc w:val="center"/>
              <w:rPr>
                <w:rFonts w:asciiTheme="minorHAnsi" w:hAnsiTheme="minorHAnsi" w:cstheme="minorHAnsi"/>
                <w:color w:val="000000"/>
                <w:sz w:val="20"/>
                <w:szCs w:val="20"/>
                <w:lang w:val="en-GB"/>
              </w:rPr>
            </w:pPr>
            <w:r w:rsidRPr="005321D5">
              <w:rPr>
                <w:rFonts w:asciiTheme="minorHAnsi" w:hAnsiTheme="minorHAnsi" w:cstheme="minorHAnsi"/>
                <w:color w:val="000000"/>
                <w:sz w:val="20"/>
                <w:szCs w:val="20"/>
                <w:lang w:val="en-GB"/>
              </w:rPr>
              <w:t>0</w:t>
            </w:r>
          </w:p>
        </w:tc>
        <w:tc>
          <w:tcPr>
            <w:tcW w:w="2140" w:type="dxa"/>
            <w:tcBorders>
              <w:top w:val="nil"/>
              <w:left w:val="single" w:sz="4" w:space="0" w:color="auto"/>
              <w:bottom w:val="single" w:sz="4" w:space="0" w:color="auto"/>
              <w:right w:val="single" w:sz="8" w:space="0" w:color="auto"/>
            </w:tcBorders>
            <w:shd w:val="clear" w:color="000000" w:fill="DCE6F1"/>
            <w:noWrap/>
            <w:vAlign w:val="center"/>
            <w:hideMark/>
          </w:tcPr>
          <w:p w14:paraId="1668C2FB" w14:textId="71E1404D" w:rsidR="00F874F8" w:rsidRPr="005321D5" w:rsidRDefault="006F3496" w:rsidP="00F874F8">
            <w:pPr>
              <w:spacing w:line="276" w:lineRule="auto"/>
              <w:ind w:firstLineChars="400" w:firstLine="800"/>
              <w:jc w:val="right"/>
              <w:rPr>
                <w:rFonts w:asciiTheme="minorHAnsi" w:hAnsiTheme="minorHAnsi" w:cstheme="minorHAnsi"/>
                <w:color w:val="000000"/>
                <w:sz w:val="20"/>
                <w:szCs w:val="20"/>
                <w:lang w:val="en-GB"/>
              </w:rPr>
            </w:pPr>
            <w:r w:rsidRPr="005321D5">
              <w:rPr>
                <w:rFonts w:asciiTheme="minorHAnsi" w:hAnsiTheme="minorHAnsi" w:cstheme="minorHAnsi"/>
                <w:color w:val="000000"/>
                <w:sz w:val="20"/>
                <w:szCs w:val="20"/>
                <w:lang w:val="en-GB"/>
              </w:rPr>
              <w:t>0.0%</w:t>
            </w:r>
          </w:p>
        </w:tc>
      </w:tr>
      <w:tr w:rsidR="00F874F8" w:rsidRPr="005321D5" w14:paraId="34988EF8" w14:textId="77777777" w:rsidTr="00B31B6D">
        <w:trPr>
          <w:trHeight w:val="285"/>
        </w:trPr>
        <w:tc>
          <w:tcPr>
            <w:tcW w:w="3360" w:type="dxa"/>
            <w:tcBorders>
              <w:top w:val="nil"/>
              <w:left w:val="single" w:sz="8" w:space="0" w:color="auto"/>
              <w:bottom w:val="single" w:sz="4" w:space="0" w:color="auto"/>
              <w:right w:val="single" w:sz="4" w:space="0" w:color="auto"/>
            </w:tcBorders>
            <w:shd w:val="clear" w:color="000000" w:fill="DAEEF3"/>
            <w:noWrap/>
            <w:vAlign w:val="center"/>
            <w:hideMark/>
          </w:tcPr>
          <w:p w14:paraId="23E10EE2" w14:textId="2809298F" w:rsidR="00F874F8" w:rsidRPr="005321D5" w:rsidRDefault="00F874F8" w:rsidP="00F874F8">
            <w:pPr>
              <w:spacing w:line="276" w:lineRule="auto"/>
              <w:ind w:firstLineChars="100" w:firstLine="200"/>
              <w:rPr>
                <w:rFonts w:asciiTheme="minorHAnsi" w:hAnsiTheme="minorHAnsi" w:cstheme="minorHAnsi"/>
                <w:color w:val="000000"/>
                <w:sz w:val="20"/>
                <w:szCs w:val="20"/>
                <w:lang w:val="en-GB"/>
              </w:rPr>
            </w:pPr>
            <w:r w:rsidRPr="005321D5">
              <w:rPr>
                <w:rFonts w:asciiTheme="minorHAnsi" w:hAnsiTheme="minorHAnsi" w:cstheme="minorHAnsi"/>
                <w:color w:val="000000"/>
                <w:sz w:val="20"/>
                <w:szCs w:val="20"/>
                <w:lang w:val="en-GB"/>
              </w:rPr>
              <w:t>Jihočeský a</w:t>
            </w:r>
            <w:r w:rsidR="006F3496" w:rsidRPr="005321D5">
              <w:rPr>
                <w:rFonts w:asciiTheme="minorHAnsi" w:hAnsiTheme="minorHAnsi" w:cstheme="minorHAnsi"/>
                <w:color w:val="000000"/>
                <w:sz w:val="20"/>
                <w:szCs w:val="20"/>
                <w:lang w:val="en-GB"/>
              </w:rPr>
              <w:t>nd</w:t>
            </w:r>
            <w:r w:rsidRPr="005321D5">
              <w:rPr>
                <w:rFonts w:asciiTheme="minorHAnsi" w:hAnsiTheme="minorHAnsi" w:cstheme="minorHAnsi"/>
                <w:color w:val="000000"/>
                <w:sz w:val="20"/>
                <w:szCs w:val="20"/>
                <w:lang w:val="en-GB"/>
              </w:rPr>
              <w:t xml:space="preserve"> Vysočina</w:t>
            </w:r>
          </w:p>
        </w:tc>
        <w:tc>
          <w:tcPr>
            <w:tcW w:w="1900" w:type="dxa"/>
            <w:tcBorders>
              <w:top w:val="nil"/>
              <w:left w:val="nil"/>
              <w:bottom w:val="single" w:sz="4" w:space="0" w:color="auto"/>
              <w:right w:val="single" w:sz="4" w:space="0" w:color="auto"/>
            </w:tcBorders>
            <w:shd w:val="clear" w:color="000000" w:fill="DCE6F1"/>
            <w:noWrap/>
            <w:vAlign w:val="center"/>
            <w:hideMark/>
          </w:tcPr>
          <w:p w14:paraId="0C04CA1F" w14:textId="77777777" w:rsidR="00F874F8" w:rsidRPr="005321D5" w:rsidRDefault="00F874F8" w:rsidP="00F874F8">
            <w:pPr>
              <w:spacing w:line="276" w:lineRule="auto"/>
              <w:jc w:val="center"/>
              <w:rPr>
                <w:rFonts w:asciiTheme="minorHAnsi" w:hAnsiTheme="minorHAnsi" w:cstheme="minorHAnsi"/>
                <w:color w:val="000000"/>
                <w:sz w:val="20"/>
                <w:szCs w:val="20"/>
                <w:lang w:val="en-GB"/>
              </w:rPr>
            </w:pPr>
            <w:r w:rsidRPr="005321D5">
              <w:rPr>
                <w:rFonts w:asciiTheme="minorHAnsi" w:hAnsiTheme="minorHAnsi" w:cstheme="minorHAnsi"/>
                <w:color w:val="000000"/>
                <w:sz w:val="20"/>
                <w:szCs w:val="20"/>
                <w:lang w:val="en-GB"/>
              </w:rPr>
              <w:t>14</w:t>
            </w:r>
          </w:p>
        </w:tc>
        <w:tc>
          <w:tcPr>
            <w:tcW w:w="1760" w:type="dxa"/>
            <w:tcBorders>
              <w:top w:val="nil"/>
              <w:left w:val="nil"/>
              <w:bottom w:val="single" w:sz="4" w:space="0" w:color="auto"/>
              <w:right w:val="nil"/>
            </w:tcBorders>
            <w:shd w:val="clear" w:color="000000" w:fill="DCE6F1"/>
            <w:noWrap/>
            <w:vAlign w:val="center"/>
            <w:hideMark/>
          </w:tcPr>
          <w:p w14:paraId="2ECACED2" w14:textId="77777777" w:rsidR="00F874F8" w:rsidRPr="005321D5" w:rsidRDefault="00F874F8" w:rsidP="00F874F8">
            <w:pPr>
              <w:spacing w:line="276" w:lineRule="auto"/>
              <w:jc w:val="center"/>
              <w:rPr>
                <w:rFonts w:asciiTheme="minorHAnsi" w:hAnsiTheme="minorHAnsi" w:cstheme="minorHAnsi"/>
                <w:color w:val="000000"/>
                <w:sz w:val="20"/>
                <w:szCs w:val="20"/>
                <w:lang w:val="en-GB"/>
              </w:rPr>
            </w:pPr>
            <w:r w:rsidRPr="005321D5">
              <w:rPr>
                <w:rFonts w:asciiTheme="minorHAnsi" w:hAnsiTheme="minorHAnsi" w:cstheme="minorHAnsi"/>
                <w:color w:val="000000"/>
                <w:sz w:val="20"/>
                <w:szCs w:val="20"/>
                <w:lang w:val="en-GB"/>
              </w:rPr>
              <w:t>0</w:t>
            </w:r>
          </w:p>
        </w:tc>
        <w:tc>
          <w:tcPr>
            <w:tcW w:w="2140" w:type="dxa"/>
            <w:tcBorders>
              <w:top w:val="nil"/>
              <w:left w:val="single" w:sz="4" w:space="0" w:color="auto"/>
              <w:bottom w:val="single" w:sz="4" w:space="0" w:color="auto"/>
              <w:right w:val="single" w:sz="8" w:space="0" w:color="auto"/>
            </w:tcBorders>
            <w:shd w:val="clear" w:color="000000" w:fill="DAEEF3"/>
            <w:noWrap/>
            <w:vAlign w:val="center"/>
            <w:hideMark/>
          </w:tcPr>
          <w:p w14:paraId="356D13AC" w14:textId="46C02D74" w:rsidR="00F874F8" w:rsidRPr="005321D5" w:rsidRDefault="006F3496" w:rsidP="00F874F8">
            <w:pPr>
              <w:spacing w:line="276" w:lineRule="auto"/>
              <w:ind w:firstLineChars="400" w:firstLine="800"/>
              <w:jc w:val="right"/>
              <w:rPr>
                <w:rFonts w:asciiTheme="minorHAnsi" w:hAnsiTheme="minorHAnsi" w:cstheme="minorHAnsi"/>
                <w:color w:val="000000"/>
                <w:sz w:val="20"/>
                <w:szCs w:val="20"/>
                <w:lang w:val="en-GB"/>
              </w:rPr>
            </w:pPr>
            <w:r w:rsidRPr="005321D5">
              <w:rPr>
                <w:rFonts w:asciiTheme="minorHAnsi" w:hAnsiTheme="minorHAnsi" w:cstheme="minorHAnsi"/>
                <w:color w:val="000000"/>
                <w:sz w:val="20"/>
                <w:szCs w:val="20"/>
                <w:lang w:val="en-GB"/>
              </w:rPr>
              <w:t>0.</w:t>
            </w:r>
            <w:r w:rsidR="00F874F8" w:rsidRPr="005321D5">
              <w:rPr>
                <w:rFonts w:asciiTheme="minorHAnsi" w:hAnsiTheme="minorHAnsi" w:cstheme="minorHAnsi"/>
                <w:color w:val="000000"/>
                <w:sz w:val="20"/>
                <w:szCs w:val="20"/>
                <w:lang w:val="en-GB"/>
              </w:rPr>
              <w:t>0%</w:t>
            </w:r>
          </w:p>
        </w:tc>
      </w:tr>
      <w:tr w:rsidR="00F874F8" w:rsidRPr="005321D5" w14:paraId="781AD94C" w14:textId="77777777" w:rsidTr="00B31B6D">
        <w:trPr>
          <w:trHeight w:val="285"/>
        </w:trPr>
        <w:tc>
          <w:tcPr>
            <w:tcW w:w="3360" w:type="dxa"/>
            <w:tcBorders>
              <w:top w:val="nil"/>
              <w:left w:val="single" w:sz="8" w:space="0" w:color="auto"/>
              <w:bottom w:val="single" w:sz="4" w:space="0" w:color="auto"/>
              <w:right w:val="single" w:sz="4" w:space="0" w:color="auto"/>
            </w:tcBorders>
            <w:shd w:val="clear" w:color="000000" w:fill="DCE6F1"/>
            <w:noWrap/>
            <w:vAlign w:val="center"/>
            <w:hideMark/>
          </w:tcPr>
          <w:p w14:paraId="5BB17FA2" w14:textId="5143F0BE" w:rsidR="00F874F8" w:rsidRPr="005321D5" w:rsidRDefault="00F874F8" w:rsidP="00F874F8">
            <w:pPr>
              <w:spacing w:line="276" w:lineRule="auto"/>
              <w:ind w:firstLineChars="100" w:firstLine="200"/>
              <w:rPr>
                <w:rFonts w:asciiTheme="minorHAnsi" w:hAnsiTheme="minorHAnsi" w:cstheme="minorHAnsi"/>
                <w:color w:val="000000"/>
                <w:sz w:val="20"/>
                <w:szCs w:val="20"/>
                <w:lang w:val="en-GB"/>
              </w:rPr>
            </w:pPr>
            <w:r w:rsidRPr="005321D5">
              <w:rPr>
                <w:rFonts w:asciiTheme="minorHAnsi" w:hAnsiTheme="minorHAnsi" w:cstheme="minorHAnsi"/>
                <w:color w:val="000000"/>
                <w:sz w:val="20"/>
                <w:szCs w:val="20"/>
                <w:lang w:val="en-GB"/>
              </w:rPr>
              <w:t>Plzeňský a</w:t>
            </w:r>
            <w:r w:rsidR="006F3496" w:rsidRPr="005321D5">
              <w:rPr>
                <w:rFonts w:asciiTheme="minorHAnsi" w:hAnsiTheme="minorHAnsi" w:cstheme="minorHAnsi"/>
                <w:color w:val="000000"/>
                <w:sz w:val="20"/>
                <w:szCs w:val="20"/>
                <w:lang w:val="en-GB"/>
              </w:rPr>
              <w:t>nd</w:t>
            </w:r>
            <w:r w:rsidRPr="005321D5">
              <w:rPr>
                <w:rFonts w:asciiTheme="minorHAnsi" w:hAnsiTheme="minorHAnsi" w:cstheme="minorHAnsi"/>
                <w:color w:val="000000"/>
                <w:sz w:val="20"/>
                <w:szCs w:val="20"/>
                <w:lang w:val="en-GB"/>
              </w:rPr>
              <w:t xml:space="preserve"> Karlovarský</w:t>
            </w:r>
          </w:p>
        </w:tc>
        <w:tc>
          <w:tcPr>
            <w:tcW w:w="1900" w:type="dxa"/>
            <w:tcBorders>
              <w:top w:val="nil"/>
              <w:left w:val="nil"/>
              <w:bottom w:val="single" w:sz="4" w:space="0" w:color="auto"/>
              <w:right w:val="single" w:sz="4" w:space="0" w:color="auto"/>
            </w:tcBorders>
            <w:shd w:val="clear" w:color="000000" w:fill="DCE6F1"/>
            <w:noWrap/>
            <w:vAlign w:val="center"/>
            <w:hideMark/>
          </w:tcPr>
          <w:p w14:paraId="437A44E4" w14:textId="77777777" w:rsidR="00F874F8" w:rsidRPr="005321D5" w:rsidRDefault="00F874F8" w:rsidP="00F874F8">
            <w:pPr>
              <w:spacing w:line="276" w:lineRule="auto"/>
              <w:jc w:val="center"/>
              <w:rPr>
                <w:rFonts w:asciiTheme="minorHAnsi" w:hAnsiTheme="minorHAnsi" w:cstheme="minorHAnsi"/>
                <w:color w:val="000000"/>
                <w:sz w:val="20"/>
                <w:szCs w:val="20"/>
                <w:lang w:val="en-GB"/>
              </w:rPr>
            </w:pPr>
            <w:r w:rsidRPr="005321D5">
              <w:rPr>
                <w:rFonts w:asciiTheme="minorHAnsi" w:hAnsiTheme="minorHAnsi" w:cstheme="minorHAnsi"/>
                <w:color w:val="000000"/>
                <w:sz w:val="20"/>
                <w:szCs w:val="20"/>
                <w:lang w:val="en-GB"/>
              </w:rPr>
              <w:t>20</w:t>
            </w:r>
          </w:p>
        </w:tc>
        <w:tc>
          <w:tcPr>
            <w:tcW w:w="1760" w:type="dxa"/>
            <w:tcBorders>
              <w:top w:val="nil"/>
              <w:left w:val="nil"/>
              <w:bottom w:val="single" w:sz="4" w:space="0" w:color="auto"/>
              <w:right w:val="nil"/>
            </w:tcBorders>
            <w:shd w:val="clear" w:color="000000" w:fill="DCE6F1"/>
            <w:noWrap/>
            <w:vAlign w:val="center"/>
            <w:hideMark/>
          </w:tcPr>
          <w:p w14:paraId="44B1ACE7" w14:textId="77777777" w:rsidR="00F874F8" w:rsidRPr="005321D5" w:rsidRDefault="00F874F8" w:rsidP="00F874F8">
            <w:pPr>
              <w:spacing w:line="276" w:lineRule="auto"/>
              <w:jc w:val="center"/>
              <w:rPr>
                <w:rFonts w:asciiTheme="minorHAnsi" w:hAnsiTheme="minorHAnsi" w:cstheme="minorHAnsi"/>
                <w:color w:val="000000"/>
                <w:sz w:val="20"/>
                <w:szCs w:val="20"/>
                <w:lang w:val="en-GB"/>
              </w:rPr>
            </w:pPr>
            <w:r w:rsidRPr="005321D5">
              <w:rPr>
                <w:rFonts w:asciiTheme="minorHAnsi" w:hAnsiTheme="minorHAnsi" w:cstheme="minorHAnsi"/>
                <w:color w:val="000000"/>
                <w:sz w:val="20"/>
                <w:szCs w:val="20"/>
                <w:lang w:val="en-GB"/>
              </w:rPr>
              <w:t>13</w:t>
            </w:r>
          </w:p>
        </w:tc>
        <w:tc>
          <w:tcPr>
            <w:tcW w:w="2140" w:type="dxa"/>
            <w:tcBorders>
              <w:top w:val="nil"/>
              <w:left w:val="single" w:sz="4" w:space="0" w:color="auto"/>
              <w:bottom w:val="single" w:sz="4" w:space="0" w:color="auto"/>
              <w:right w:val="single" w:sz="8" w:space="0" w:color="auto"/>
            </w:tcBorders>
            <w:shd w:val="clear" w:color="000000" w:fill="DCE6F1"/>
            <w:noWrap/>
            <w:vAlign w:val="center"/>
            <w:hideMark/>
          </w:tcPr>
          <w:p w14:paraId="6F42FE18" w14:textId="78A64E1C" w:rsidR="00F874F8" w:rsidRPr="005321D5" w:rsidRDefault="006F3496" w:rsidP="00F874F8">
            <w:pPr>
              <w:spacing w:line="276" w:lineRule="auto"/>
              <w:ind w:firstLineChars="400" w:firstLine="800"/>
              <w:jc w:val="right"/>
              <w:rPr>
                <w:rFonts w:asciiTheme="minorHAnsi" w:hAnsiTheme="minorHAnsi" w:cstheme="minorHAnsi"/>
                <w:color w:val="000000"/>
                <w:sz w:val="20"/>
                <w:szCs w:val="20"/>
                <w:lang w:val="en-GB"/>
              </w:rPr>
            </w:pPr>
            <w:r w:rsidRPr="005321D5">
              <w:rPr>
                <w:rFonts w:asciiTheme="minorHAnsi" w:hAnsiTheme="minorHAnsi" w:cstheme="minorHAnsi"/>
                <w:color w:val="000000"/>
                <w:sz w:val="20"/>
                <w:szCs w:val="20"/>
                <w:lang w:val="en-GB"/>
              </w:rPr>
              <w:t>65.</w:t>
            </w:r>
            <w:r w:rsidR="00F874F8" w:rsidRPr="005321D5">
              <w:rPr>
                <w:rFonts w:asciiTheme="minorHAnsi" w:hAnsiTheme="minorHAnsi" w:cstheme="minorHAnsi"/>
                <w:color w:val="000000"/>
                <w:sz w:val="20"/>
                <w:szCs w:val="20"/>
                <w:lang w:val="en-GB"/>
              </w:rPr>
              <w:t>0%</w:t>
            </w:r>
          </w:p>
        </w:tc>
      </w:tr>
      <w:tr w:rsidR="00F874F8" w:rsidRPr="005321D5" w14:paraId="07B05BB7" w14:textId="77777777" w:rsidTr="00B31B6D">
        <w:trPr>
          <w:trHeight w:val="285"/>
        </w:trPr>
        <w:tc>
          <w:tcPr>
            <w:tcW w:w="3360" w:type="dxa"/>
            <w:tcBorders>
              <w:top w:val="nil"/>
              <w:left w:val="single" w:sz="8" w:space="0" w:color="auto"/>
              <w:bottom w:val="single" w:sz="4" w:space="0" w:color="auto"/>
              <w:right w:val="single" w:sz="4" w:space="0" w:color="auto"/>
            </w:tcBorders>
            <w:shd w:val="clear" w:color="000000" w:fill="DAEEF3"/>
            <w:noWrap/>
            <w:vAlign w:val="center"/>
            <w:hideMark/>
          </w:tcPr>
          <w:p w14:paraId="390F3F1B" w14:textId="233491D5" w:rsidR="00F874F8" w:rsidRPr="005321D5" w:rsidRDefault="00F874F8" w:rsidP="00F874F8">
            <w:pPr>
              <w:spacing w:line="276" w:lineRule="auto"/>
              <w:ind w:firstLineChars="100" w:firstLine="200"/>
              <w:rPr>
                <w:rFonts w:asciiTheme="minorHAnsi" w:hAnsiTheme="minorHAnsi" w:cstheme="minorHAnsi"/>
                <w:color w:val="000000"/>
                <w:sz w:val="20"/>
                <w:szCs w:val="20"/>
                <w:lang w:val="en-GB"/>
              </w:rPr>
            </w:pPr>
            <w:r w:rsidRPr="005321D5">
              <w:rPr>
                <w:rFonts w:asciiTheme="minorHAnsi" w:hAnsiTheme="minorHAnsi" w:cstheme="minorHAnsi"/>
                <w:color w:val="000000"/>
                <w:sz w:val="20"/>
                <w:szCs w:val="20"/>
                <w:lang w:val="en-GB"/>
              </w:rPr>
              <w:t>Ústecký a</w:t>
            </w:r>
            <w:r w:rsidR="006F3496" w:rsidRPr="005321D5">
              <w:rPr>
                <w:rFonts w:asciiTheme="minorHAnsi" w:hAnsiTheme="minorHAnsi" w:cstheme="minorHAnsi"/>
                <w:color w:val="000000"/>
                <w:sz w:val="20"/>
                <w:szCs w:val="20"/>
                <w:lang w:val="en-GB"/>
              </w:rPr>
              <w:t>nd</w:t>
            </w:r>
            <w:r w:rsidRPr="005321D5">
              <w:rPr>
                <w:rFonts w:asciiTheme="minorHAnsi" w:hAnsiTheme="minorHAnsi" w:cstheme="minorHAnsi"/>
                <w:color w:val="000000"/>
                <w:sz w:val="20"/>
                <w:szCs w:val="20"/>
                <w:lang w:val="en-GB"/>
              </w:rPr>
              <w:t xml:space="preserve"> Liberecký</w:t>
            </w:r>
          </w:p>
        </w:tc>
        <w:tc>
          <w:tcPr>
            <w:tcW w:w="1900" w:type="dxa"/>
            <w:tcBorders>
              <w:top w:val="nil"/>
              <w:left w:val="nil"/>
              <w:bottom w:val="single" w:sz="4" w:space="0" w:color="auto"/>
              <w:right w:val="single" w:sz="4" w:space="0" w:color="auto"/>
            </w:tcBorders>
            <w:shd w:val="clear" w:color="000000" w:fill="DCE6F1"/>
            <w:noWrap/>
            <w:vAlign w:val="center"/>
            <w:hideMark/>
          </w:tcPr>
          <w:p w14:paraId="18F4CA73" w14:textId="77777777" w:rsidR="00F874F8" w:rsidRPr="005321D5" w:rsidRDefault="00F874F8" w:rsidP="00F874F8">
            <w:pPr>
              <w:spacing w:line="276" w:lineRule="auto"/>
              <w:jc w:val="center"/>
              <w:rPr>
                <w:rFonts w:asciiTheme="minorHAnsi" w:hAnsiTheme="minorHAnsi" w:cstheme="minorHAnsi"/>
                <w:color w:val="000000"/>
                <w:sz w:val="20"/>
                <w:szCs w:val="20"/>
                <w:lang w:val="en-GB"/>
              </w:rPr>
            </w:pPr>
            <w:r w:rsidRPr="005321D5">
              <w:rPr>
                <w:rFonts w:asciiTheme="minorHAnsi" w:hAnsiTheme="minorHAnsi" w:cstheme="minorHAnsi"/>
                <w:color w:val="000000"/>
                <w:sz w:val="20"/>
                <w:szCs w:val="20"/>
                <w:lang w:val="en-GB"/>
              </w:rPr>
              <w:t>41</w:t>
            </w:r>
          </w:p>
        </w:tc>
        <w:tc>
          <w:tcPr>
            <w:tcW w:w="1760" w:type="dxa"/>
            <w:tcBorders>
              <w:top w:val="nil"/>
              <w:left w:val="nil"/>
              <w:bottom w:val="single" w:sz="4" w:space="0" w:color="auto"/>
              <w:right w:val="nil"/>
            </w:tcBorders>
            <w:shd w:val="clear" w:color="000000" w:fill="DCE6F1"/>
            <w:noWrap/>
            <w:vAlign w:val="center"/>
            <w:hideMark/>
          </w:tcPr>
          <w:p w14:paraId="020756E0" w14:textId="77777777" w:rsidR="00F874F8" w:rsidRPr="005321D5" w:rsidRDefault="00F874F8" w:rsidP="00F874F8">
            <w:pPr>
              <w:spacing w:line="276" w:lineRule="auto"/>
              <w:jc w:val="center"/>
              <w:rPr>
                <w:rFonts w:asciiTheme="minorHAnsi" w:hAnsiTheme="minorHAnsi" w:cstheme="minorHAnsi"/>
                <w:color w:val="000000"/>
                <w:sz w:val="20"/>
                <w:szCs w:val="20"/>
                <w:lang w:val="en-GB"/>
              </w:rPr>
            </w:pPr>
            <w:r w:rsidRPr="005321D5">
              <w:rPr>
                <w:rFonts w:asciiTheme="minorHAnsi" w:hAnsiTheme="minorHAnsi" w:cstheme="minorHAnsi"/>
                <w:color w:val="000000"/>
                <w:sz w:val="20"/>
                <w:szCs w:val="20"/>
                <w:lang w:val="en-GB"/>
              </w:rPr>
              <w:t>12</w:t>
            </w:r>
          </w:p>
        </w:tc>
        <w:tc>
          <w:tcPr>
            <w:tcW w:w="2140" w:type="dxa"/>
            <w:tcBorders>
              <w:top w:val="nil"/>
              <w:left w:val="single" w:sz="4" w:space="0" w:color="auto"/>
              <w:bottom w:val="single" w:sz="4" w:space="0" w:color="auto"/>
              <w:right w:val="single" w:sz="8" w:space="0" w:color="auto"/>
            </w:tcBorders>
            <w:shd w:val="clear" w:color="000000" w:fill="DAEEF3"/>
            <w:noWrap/>
            <w:vAlign w:val="center"/>
            <w:hideMark/>
          </w:tcPr>
          <w:p w14:paraId="6E9C9295" w14:textId="6A87523B" w:rsidR="00F874F8" w:rsidRPr="005321D5" w:rsidRDefault="006F3496" w:rsidP="00F874F8">
            <w:pPr>
              <w:spacing w:line="276" w:lineRule="auto"/>
              <w:ind w:firstLineChars="400" w:firstLine="800"/>
              <w:jc w:val="right"/>
              <w:rPr>
                <w:rFonts w:asciiTheme="minorHAnsi" w:hAnsiTheme="minorHAnsi" w:cstheme="minorHAnsi"/>
                <w:color w:val="000000"/>
                <w:sz w:val="20"/>
                <w:szCs w:val="20"/>
                <w:lang w:val="en-GB"/>
              </w:rPr>
            </w:pPr>
            <w:r w:rsidRPr="005321D5">
              <w:rPr>
                <w:rFonts w:asciiTheme="minorHAnsi" w:hAnsiTheme="minorHAnsi" w:cstheme="minorHAnsi"/>
                <w:color w:val="000000"/>
                <w:sz w:val="20"/>
                <w:szCs w:val="20"/>
                <w:lang w:val="en-GB"/>
              </w:rPr>
              <w:t>29.</w:t>
            </w:r>
            <w:r w:rsidR="00F874F8" w:rsidRPr="005321D5">
              <w:rPr>
                <w:rFonts w:asciiTheme="minorHAnsi" w:hAnsiTheme="minorHAnsi" w:cstheme="minorHAnsi"/>
                <w:color w:val="000000"/>
                <w:sz w:val="20"/>
                <w:szCs w:val="20"/>
                <w:lang w:val="en-GB"/>
              </w:rPr>
              <w:t>3%</w:t>
            </w:r>
          </w:p>
        </w:tc>
      </w:tr>
      <w:tr w:rsidR="00F874F8" w:rsidRPr="005321D5" w14:paraId="4737AD9F" w14:textId="77777777" w:rsidTr="00B31B6D">
        <w:trPr>
          <w:trHeight w:val="285"/>
        </w:trPr>
        <w:tc>
          <w:tcPr>
            <w:tcW w:w="3360" w:type="dxa"/>
            <w:tcBorders>
              <w:top w:val="nil"/>
              <w:left w:val="single" w:sz="8" w:space="0" w:color="auto"/>
              <w:bottom w:val="single" w:sz="4" w:space="0" w:color="auto"/>
              <w:right w:val="single" w:sz="4" w:space="0" w:color="auto"/>
            </w:tcBorders>
            <w:shd w:val="clear" w:color="000000" w:fill="DCE6F1"/>
            <w:noWrap/>
            <w:vAlign w:val="center"/>
            <w:hideMark/>
          </w:tcPr>
          <w:p w14:paraId="13BB3028" w14:textId="3D381613" w:rsidR="00F874F8" w:rsidRPr="005321D5" w:rsidRDefault="00F874F8" w:rsidP="00F874F8">
            <w:pPr>
              <w:spacing w:line="276" w:lineRule="auto"/>
              <w:ind w:firstLineChars="100" w:firstLine="200"/>
              <w:rPr>
                <w:rFonts w:asciiTheme="minorHAnsi" w:hAnsiTheme="minorHAnsi" w:cstheme="minorHAnsi"/>
                <w:color w:val="000000"/>
                <w:sz w:val="20"/>
                <w:szCs w:val="20"/>
                <w:lang w:val="en-GB"/>
              </w:rPr>
            </w:pPr>
            <w:r w:rsidRPr="005321D5">
              <w:rPr>
                <w:rFonts w:asciiTheme="minorHAnsi" w:hAnsiTheme="minorHAnsi" w:cstheme="minorHAnsi"/>
                <w:color w:val="000000"/>
                <w:sz w:val="20"/>
                <w:szCs w:val="20"/>
                <w:lang w:val="en-GB"/>
              </w:rPr>
              <w:t>Královéhradecký a</w:t>
            </w:r>
            <w:r w:rsidR="006F3496" w:rsidRPr="005321D5">
              <w:rPr>
                <w:rFonts w:asciiTheme="minorHAnsi" w:hAnsiTheme="minorHAnsi" w:cstheme="minorHAnsi"/>
                <w:color w:val="000000"/>
                <w:sz w:val="20"/>
                <w:szCs w:val="20"/>
                <w:lang w:val="en-GB"/>
              </w:rPr>
              <w:t>nd</w:t>
            </w:r>
            <w:r w:rsidRPr="005321D5">
              <w:rPr>
                <w:rFonts w:asciiTheme="minorHAnsi" w:hAnsiTheme="minorHAnsi" w:cstheme="minorHAnsi"/>
                <w:color w:val="000000"/>
                <w:sz w:val="20"/>
                <w:szCs w:val="20"/>
                <w:lang w:val="en-GB"/>
              </w:rPr>
              <w:t xml:space="preserve"> Pardubický</w:t>
            </w:r>
          </w:p>
        </w:tc>
        <w:tc>
          <w:tcPr>
            <w:tcW w:w="1900" w:type="dxa"/>
            <w:tcBorders>
              <w:top w:val="nil"/>
              <w:left w:val="nil"/>
              <w:bottom w:val="single" w:sz="4" w:space="0" w:color="auto"/>
              <w:right w:val="single" w:sz="4" w:space="0" w:color="auto"/>
            </w:tcBorders>
            <w:shd w:val="clear" w:color="000000" w:fill="DCE6F1"/>
            <w:noWrap/>
            <w:vAlign w:val="center"/>
            <w:hideMark/>
          </w:tcPr>
          <w:p w14:paraId="0F333C9C" w14:textId="77777777" w:rsidR="00F874F8" w:rsidRPr="005321D5" w:rsidRDefault="00F874F8" w:rsidP="00F874F8">
            <w:pPr>
              <w:spacing w:line="276" w:lineRule="auto"/>
              <w:jc w:val="center"/>
              <w:rPr>
                <w:rFonts w:asciiTheme="minorHAnsi" w:hAnsiTheme="minorHAnsi" w:cstheme="minorHAnsi"/>
                <w:color w:val="000000"/>
                <w:sz w:val="20"/>
                <w:szCs w:val="20"/>
                <w:lang w:val="en-GB"/>
              </w:rPr>
            </w:pPr>
            <w:r w:rsidRPr="005321D5">
              <w:rPr>
                <w:rFonts w:asciiTheme="minorHAnsi" w:hAnsiTheme="minorHAnsi" w:cstheme="minorHAnsi"/>
                <w:color w:val="000000"/>
                <w:sz w:val="20"/>
                <w:szCs w:val="20"/>
                <w:lang w:val="en-GB"/>
              </w:rPr>
              <w:t>17</w:t>
            </w:r>
          </w:p>
        </w:tc>
        <w:tc>
          <w:tcPr>
            <w:tcW w:w="1760" w:type="dxa"/>
            <w:tcBorders>
              <w:top w:val="nil"/>
              <w:left w:val="nil"/>
              <w:bottom w:val="single" w:sz="4" w:space="0" w:color="auto"/>
              <w:right w:val="nil"/>
            </w:tcBorders>
            <w:shd w:val="clear" w:color="000000" w:fill="DCE6F1"/>
            <w:noWrap/>
            <w:vAlign w:val="center"/>
            <w:hideMark/>
          </w:tcPr>
          <w:p w14:paraId="3BA8EA7D" w14:textId="77777777" w:rsidR="00F874F8" w:rsidRPr="005321D5" w:rsidRDefault="00F874F8" w:rsidP="00F874F8">
            <w:pPr>
              <w:spacing w:line="276" w:lineRule="auto"/>
              <w:jc w:val="center"/>
              <w:rPr>
                <w:rFonts w:asciiTheme="minorHAnsi" w:hAnsiTheme="minorHAnsi" w:cstheme="minorHAnsi"/>
                <w:color w:val="000000"/>
                <w:sz w:val="20"/>
                <w:szCs w:val="20"/>
                <w:lang w:val="en-GB"/>
              </w:rPr>
            </w:pPr>
            <w:r w:rsidRPr="005321D5">
              <w:rPr>
                <w:rFonts w:asciiTheme="minorHAnsi" w:hAnsiTheme="minorHAnsi" w:cstheme="minorHAnsi"/>
                <w:color w:val="000000"/>
                <w:sz w:val="20"/>
                <w:szCs w:val="20"/>
                <w:lang w:val="en-GB"/>
              </w:rPr>
              <w:t>4</w:t>
            </w:r>
          </w:p>
        </w:tc>
        <w:tc>
          <w:tcPr>
            <w:tcW w:w="2140" w:type="dxa"/>
            <w:tcBorders>
              <w:top w:val="nil"/>
              <w:left w:val="single" w:sz="4" w:space="0" w:color="auto"/>
              <w:bottom w:val="single" w:sz="4" w:space="0" w:color="auto"/>
              <w:right w:val="single" w:sz="8" w:space="0" w:color="auto"/>
            </w:tcBorders>
            <w:shd w:val="clear" w:color="000000" w:fill="DCE6F1"/>
            <w:noWrap/>
            <w:vAlign w:val="center"/>
            <w:hideMark/>
          </w:tcPr>
          <w:p w14:paraId="5A3891A1" w14:textId="62230270" w:rsidR="00F874F8" w:rsidRPr="005321D5" w:rsidRDefault="006F3496" w:rsidP="00F874F8">
            <w:pPr>
              <w:spacing w:line="276" w:lineRule="auto"/>
              <w:ind w:firstLineChars="400" w:firstLine="800"/>
              <w:jc w:val="right"/>
              <w:rPr>
                <w:rFonts w:asciiTheme="minorHAnsi" w:hAnsiTheme="minorHAnsi" w:cstheme="minorHAnsi"/>
                <w:color w:val="000000"/>
                <w:sz w:val="20"/>
                <w:szCs w:val="20"/>
                <w:lang w:val="en-GB"/>
              </w:rPr>
            </w:pPr>
            <w:r w:rsidRPr="005321D5">
              <w:rPr>
                <w:rFonts w:asciiTheme="minorHAnsi" w:hAnsiTheme="minorHAnsi" w:cstheme="minorHAnsi"/>
                <w:color w:val="000000"/>
                <w:sz w:val="20"/>
                <w:szCs w:val="20"/>
                <w:lang w:val="en-GB"/>
              </w:rPr>
              <w:t>23.</w:t>
            </w:r>
            <w:r w:rsidR="00F874F8" w:rsidRPr="005321D5">
              <w:rPr>
                <w:rFonts w:asciiTheme="minorHAnsi" w:hAnsiTheme="minorHAnsi" w:cstheme="minorHAnsi"/>
                <w:color w:val="000000"/>
                <w:sz w:val="20"/>
                <w:szCs w:val="20"/>
                <w:lang w:val="en-GB"/>
              </w:rPr>
              <w:t>5%</w:t>
            </w:r>
          </w:p>
        </w:tc>
      </w:tr>
      <w:tr w:rsidR="00F874F8" w:rsidRPr="005321D5" w14:paraId="7B6998E9" w14:textId="77777777" w:rsidTr="00B31B6D">
        <w:trPr>
          <w:trHeight w:val="285"/>
        </w:trPr>
        <w:tc>
          <w:tcPr>
            <w:tcW w:w="3360" w:type="dxa"/>
            <w:tcBorders>
              <w:top w:val="nil"/>
              <w:left w:val="single" w:sz="8" w:space="0" w:color="auto"/>
              <w:bottom w:val="single" w:sz="4" w:space="0" w:color="auto"/>
              <w:right w:val="single" w:sz="4" w:space="0" w:color="auto"/>
            </w:tcBorders>
            <w:shd w:val="clear" w:color="000000" w:fill="DAEEF3"/>
            <w:noWrap/>
            <w:vAlign w:val="center"/>
            <w:hideMark/>
          </w:tcPr>
          <w:p w14:paraId="3E0C8853" w14:textId="26EF41F0" w:rsidR="00F874F8" w:rsidRPr="005321D5" w:rsidRDefault="00F874F8" w:rsidP="00F874F8">
            <w:pPr>
              <w:spacing w:line="276" w:lineRule="auto"/>
              <w:ind w:firstLineChars="100" w:firstLine="200"/>
              <w:rPr>
                <w:rFonts w:asciiTheme="minorHAnsi" w:hAnsiTheme="minorHAnsi" w:cstheme="minorHAnsi"/>
                <w:color w:val="000000"/>
                <w:sz w:val="20"/>
                <w:szCs w:val="20"/>
                <w:lang w:val="en-GB"/>
              </w:rPr>
            </w:pPr>
            <w:r w:rsidRPr="005321D5">
              <w:rPr>
                <w:rFonts w:asciiTheme="minorHAnsi" w:hAnsiTheme="minorHAnsi" w:cstheme="minorHAnsi"/>
                <w:color w:val="000000"/>
                <w:sz w:val="20"/>
                <w:szCs w:val="20"/>
                <w:lang w:val="en-GB"/>
              </w:rPr>
              <w:t>Jihomoravský a</w:t>
            </w:r>
            <w:r w:rsidR="006F3496" w:rsidRPr="005321D5">
              <w:rPr>
                <w:rFonts w:asciiTheme="minorHAnsi" w:hAnsiTheme="minorHAnsi" w:cstheme="minorHAnsi"/>
                <w:color w:val="000000"/>
                <w:sz w:val="20"/>
                <w:szCs w:val="20"/>
                <w:lang w:val="en-GB"/>
              </w:rPr>
              <w:t>nd</w:t>
            </w:r>
            <w:r w:rsidRPr="005321D5">
              <w:rPr>
                <w:rFonts w:asciiTheme="minorHAnsi" w:hAnsiTheme="minorHAnsi" w:cstheme="minorHAnsi"/>
                <w:color w:val="000000"/>
                <w:sz w:val="20"/>
                <w:szCs w:val="20"/>
                <w:lang w:val="en-GB"/>
              </w:rPr>
              <w:t xml:space="preserve"> Zlínský</w:t>
            </w:r>
          </w:p>
        </w:tc>
        <w:tc>
          <w:tcPr>
            <w:tcW w:w="1900" w:type="dxa"/>
            <w:tcBorders>
              <w:top w:val="nil"/>
              <w:left w:val="nil"/>
              <w:bottom w:val="single" w:sz="4" w:space="0" w:color="auto"/>
              <w:right w:val="single" w:sz="4" w:space="0" w:color="auto"/>
            </w:tcBorders>
            <w:shd w:val="clear" w:color="000000" w:fill="DCE6F1"/>
            <w:noWrap/>
            <w:vAlign w:val="center"/>
            <w:hideMark/>
          </w:tcPr>
          <w:p w14:paraId="01D6B0A6" w14:textId="77777777" w:rsidR="00F874F8" w:rsidRPr="005321D5" w:rsidRDefault="00F874F8" w:rsidP="00F874F8">
            <w:pPr>
              <w:spacing w:line="276" w:lineRule="auto"/>
              <w:jc w:val="center"/>
              <w:rPr>
                <w:rFonts w:asciiTheme="minorHAnsi" w:hAnsiTheme="minorHAnsi" w:cstheme="minorHAnsi"/>
                <w:color w:val="000000"/>
                <w:sz w:val="20"/>
                <w:szCs w:val="20"/>
                <w:lang w:val="en-GB"/>
              </w:rPr>
            </w:pPr>
            <w:r w:rsidRPr="005321D5">
              <w:rPr>
                <w:rFonts w:asciiTheme="minorHAnsi" w:hAnsiTheme="minorHAnsi" w:cstheme="minorHAnsi"/>
                <w:color w:val="000000"/>
                <w:sz w:val="20"/>
                <w:szCs w:val="20"/>
                <w:lang w:val="en-GB"/>
              </w:rPr>
              <w:t>30</w:t>
            </w:r>
          </w:p>
        </w:tc>
        <w:tc>
          <w:tcPr>
            <w:tcW w:w="1760" w:type="dxa"/>
            <w:tcBorders>
              <w:top w:val="nil"/>
              <w:left w:val="nil"/>
              <w:bottom w:val="single" w:sz="4" w:space="0" w:color="auto"/>
              <w:right w:val="nil"/>
            </w:tcBorders>
            <w:shd w:val="clear" w:color="000000" w:fill="DCE6F1"/>
            <w:noWrap/>
            <w:vAlign w:val="center"/>
            <w:hideMark/>
          </w:tcPr>
          <w:p w14:paraId="24437146" w14:textId="77777777" w:rsidR="00F874F8" w:rsidRPr="005321D5" w:rsidRDefault="00F874F8" w:rsidP="00F874F8">
            <w:pPr>
              <w:spacing w:line="276" w:lineRule="auto"/>
              <w:jc w:val="center"/>
              <w:rPr>
                <w:rFonts w:asciiTheme="minorHAnsi" w:hAnsiTheme="minorHAnsi" w:cstheme="minorHAnsi"/>
                <w:color w:val="000000"/>
                <w:sz w:val="20"/>
                <w:szCs w:val="20"/>
                <w:lang w:val="en-GB"/>
              </w:rPr>
            </w:pPr>
            <w:r w:rsidRPr="005321D5">
              <w:rPr>
                <w:rFonts w:asciiTheme="minorHAnsi" w:hAnsiTheme="minorHAnsi" w:cstheme="minorHAnsi"/>
                <w:color w:val="000000"/>
                <w:sz w:val="20"/>
                <w:szCs w:val="20"/>
                <w:lang w:val="en-GB"/>
              </w:rPr>
              <w:t>10</w:t>
            </w:r>
          </w:p>
        </w:tc>
        <w:tc>
          <w:tcPr>
            <w:tcW w:w="2140" w:type="dxa"/>
            <w:tcBorders>
              <w:top w:val="nil"/>
              <w:left w:val="single" w:sz="4" w:space="0" w:color="auto"/>
              <w:bottom w:val="single" w:sz="4" w:space="0" w:color="auto"/>
              <w:right w:val="single" w:sz="8" w:space="0" w:color="auto"/>
            </w:tcBorders>
            <w:shd w:val="clear" w:color="000000" w:fill="DAEEF3"/>
            <w:noWrap/>
            <w:vAlign w:val="center"/>
            <w:hideMark/>
          </w:tcPr>
          <w:p w14:paraId="4A5D6146" w14:textId="351824E0" w:rsidR="00F874F8" w:rsidRPr="005321D5" w:rsidRDefault="006F3496" w:rsidP="00F874F8">
            <w:pPr>
              <w:spacing w:line="276" w:lineRule="auto"/>
              <w:ind w:firstLineChars="400" w:firstLine="800"/>
              <w:jc w:val="right"/>
              <w:rPr>
                <w:rFonts w:asciiTheme="minorHAnsi" w:hAnsiTheme="minorHAnsi" w:cstheme="minorHAnsi"/>
                <w:color w:val="000000"/>
                <w:sz w:val="20"/>
                <w:szCs w:val="20"/>
                <w:lang w:val="en-GB"/>
              </w:rPr>
            </w:pPr>
            <w:r w:rsidRPr="005321D5">
              <w:rPr>
                <w:rFonts w:asciiTheme="minorHAnsi" w:hAnsiTheme="minorHAnsi" w:cstheme="minorHAnsi"/>
                <w:color w:val="000000"/>
                <w:sz w:val="20"/>
                <w:szCs w:val="20"/>
                <w:lang w:val="en-GB"/>
              </w:rPr>
              <w:t>33.</w:t>
            </w:r>
            <w:r w:rsidR="00F874F8" w:rsidRPr="005321D5">
              <w:rPr>
                <w:rFonts w:asciiTheme="minorHAnsi" w:hAnsiTheme="minorHAnsi" w:cstheme="minorHAnsi"/>
                <w:color w:val="000000"/>
                <w:sz w:val="20"/>
                <w:szCs w:val="20"/>
                <w:lang w:val="en-GB"/>
              </w:rPr>
              <w:t>3%</w:t>
            </w:r>
          </w:p>
        </w:tc>
      </w:tr>
      <w:tr w:rsidR="00F874F8" w:rsidRPr="005321D5" w14:paraId="7BA71928" w14:textId="77777777" w:rsidTr="00B31B6D">
        <w:trPr>
          <w:trHeight w:val="300"/>
        </w:trPr>
        <w:tc>
          <w:tcPr>
            <w:tcW w:w="3360" w:type="dxa"/>
            <w:tcBorders>
              <w:top w:val="nil"/>
              <w:left w:val="single" w:sz="8" w:space="0" w:color="auto"/>
              <w:bottom w:val="nil"/>
              <w:right w:val="single" w:sz="4" w:space="0" w:color="auto"/>
            </w:tcBorders>
            <w:shd w:val="clear" w:color="000000" w:fill="DCE6F1"/>
            <w:noWrap/>
            <w:vAlign w:val="center"/>
            <w:hideMark/>
          </w:tcPr>
          <w:p w14:paraId="1D1C24B9" w14:textId="51477A37" w:rsidR="00F874F8" w:rsidRPr="005321D5" w:rsidRDefault="00F874F8" w:rsidP="00F874F8">
            <w:pPr>
              <w:spacing w:line="276" w:lineRule="auto"/>
              <w:ind w:firstLineChars="100" w:firstLine="200"/>
              <w:rPr>
                <w:rFonts w:asciiTheme="minorHAnsi" w:hAnsiTheme="minorHAnsi" w:cstheme="minorHAnsi"/>
                <w:color w:val="000000"/>
                <w:sz w:val="20"/>
                <w:szCs w:val="20"/>
                <w:lang w:val="en-GB"/>
              </w:rPr>
            </w:pPr>
            <w:r w:rsidRPr="005321D5">
              <w:rPr>
                <w:rFonts w:asciiTheme="minorHAnsi" w:hAnsiTheme="minorHAnsi" w:cstheme="minorHAnsi"/>
                <w:color w:val="000000"/>
                <w:sz w:val="20"/>
                <w:szCs w:val="20"/>
                <w:lang w:val="en-GB"/>
              </w:rPr>
              <w:t>Olomoucký a</w:t>
            </w:r>
            <w:r w:rsidR="006F3496" w:rsidRPr="005321D5">
              <w:rPr>
                <w:rFonts w:asciiTheme="minorHAnsi" w:hAnsiTheme="minorHAnsi" w:cstheme="minorHAnsi"/>
                <w:color w:val="000000"/>
                <w:sz w:val="20"/>
                <w:szCs w:val="20"/>
                <w:lang w:val="en-GB"/>
              </w:rPr>
              <w:t>nd</w:t>
            </w:r>
            <w:r w:rsidRPr="005321D5">
              <w:rPr>
                <w:rFonts w:asciiTheme="minorHAnsi" w:hAnsiTheme="minorHAnsi" w:cstheme="minorHAnsi"/>
                <w:color w:val="000000"/>
                <w:sz w:val="20"/>
                <w:szCs w:val="20"/>
                <w:lang w:val="en-GB"/>
              </w:rPr>
              <w:t xml:space="preserve"> Moravskoslezský</w:t>
            </w:r>
          </w:p>
        </w:tc>
        <w:tc>
          <w:tcPr>
            <w:tcW w:w="1900" w:type="dxa"/>
            <w:tcBorders>
              <w:top w:val="nil"/>
              <w:left w:val="nil"/>
              <w:bottom w:val="single" w:sz="4" w:space="0" w:color="auto"/>
              <w:right w:val="single" w:sz="4" w:space="0" w:color="auto"/>
            </w:tcBorders>
            <w:shd w:val="clear" w:color="000000" w:fill="DCE6F1"/>
            <w:noWrap/>
            <w:vAlign w:val="center"/>
            <w:hideMark/>
          </w:tcPr>
          <w:p w14:paraId="5BB98D45" w14:textId="77777777" w:rsidR="00F874F8" w:rsidRPr="005321D5" w:rsidRDefault="00F874F8" w:rsidP="00F874F8">
            <w:pPr>
              <w:spacing w:line="276" w:lineRule="auto"/>
              <w:jc w:val="center"/>
              <w:rPr>
                <w:rFonts w:asciiTheme="minorHAnsi" w:hAnsiTheme="minorHAnsi" w:cstheme="minorHAnsi"/>
                <w:color w:val="000000"/>
                <w:sz w:val="20"/>
                <w:szCs w:val="20"/>
                <w:lang w:val="en-GB"/>
              </w:rPr>
            </w:pPr>
            <w:r w:rsidRPr="005321D5">
              <w:rPr>
                <w:rFonts w:asciiTheme="minorHAnsi" w:hAnsiTheme="minorHAnsi" w:cstheme="minorHAnsi"/>
                <w:color w:val="000000"/>
                <w:sz w:val="20"/>
                <w:szCs w:val="20"/>
                <w:lang w:val="en-GB"/>
              </w:rPr>
              <w:t>18</w:t>
            </w:r>
          </w:p>
        </w:tc>
        <w:tc>
          <w:tcPr>
            <w:tcW w:w="1760" w:type="dxa"/>
            <w:tcBorders>
              <w:top w:val="nil"/>
              <w:left w:val="nil"/>
              <w:bottom w:val="single" w:sz="4" w:space="0" w:color="auto"/>
              <w:right w:val="nil"/>
            </w:tcBorders>
            <w:shd w:val="clear" w:color="000000" w:fill="DCE6F1"/>
            <w:noWrap/>
            <w:vAlign w:val="center"/>
            <w:hideMark/>
          </w:tcPr>
          <w:p w14:paraId="786D7584" w14:textId="77777777" w:rsidR="00F874F8" w:rsidRPr="005321D5" w:rsidRDefault="00F874F8" w:rsidP="00F874F8">
            <w:pPr>
              <w:spacing w:line="276" w:lineRule="auto"/>
              <w:jc w:val="center"/>
              <w:rPr>
                <w:rFonts w:asciiTheme="minorHAnsi" w:hAnsiTheme="minorHAnsi" w:cstheme="minorHAnsi"/>
                <w:color w:val="000000"/>
                <w:sz w:val="20"/>
                <w:szCs w:val="20"/>
                <w:lang w:val="en-GB"/>
              </w:rPr>
            </w:pPr>
            <w:r w:rsidRPr="005321D5">
              <w:rPr>
                <w:rFonts w:asciiTheme="minorHAnsi" w:hAnsiTheme="minorHAnsi" w:cstheme="minorHAnsi"/>
                <w:color w:val="000000"/>
                <w:sz w:val="20"/>
                <w:szCs w:val="20"/>
                <w:lang w:val="en-GB"/>
              </w:rPr>
              <w:t>5</w:t>
            </w:r>
          </w:p>
        </w:tc>
        <w:tc>
          <w:tcPr>
            <w:tcW w:w="2140" w:type="dxa"/>
            <w:tcBorders>
              <w:top w:val="nil"/>
              <w:left w:val="single" w:sz="4" w:space="0" w:color="auto"/>
              <w:bottom w:val="nil"/>
              <w:right w:val="single" w:sz="8" w:space="0" w:color="auto"/>
            </w:tcBorders>
            <w:shd w:val="clear" w:color="000000" w:fill="DCE6F1"/>
            <w:noWrap/>
            <w:vAlign w:val="center"/>
            <w:hideMark/>
          </w:tcPr>
          <w:p w14:paraId="1A4246E9" w14:textId="3A893786" w:rsidR="00F874F8" w:rsidRPr="005321D5" w:rsidRDefault="006F3496" w:rsidP="00F874F8">
            <w:pPr>
              <w:spacing w:line="276" w:lineRule="auto"/>
              <w:ind w:firstLineChars="400" w:firstLine="800"/>
              <w:jc w:val="right"/>
              <w:rPr>
                <w:rFonts w:asciiTheme="minorHAnsi" w:hAnsiTheme="minorHAnsi" w:cstheme="minorHAnsi"/>
                <w:color w:val="000000"/>
                <w:sz w:val="20"/>
                <w:szCs w:val="20"/>
                <w:lang w:val="en-GB"/>
              </w:rPr>
            </w:pPr>
            <w:r w:rsidRPr="005321D5">
              <w:rPr>
                <w:rFonts w:asciiTheme="minorHAnsi" w:hAnsiTheme="minorHAnsi" w:cstheme="minorHAnsi"/>
                <w:color w:val="000000"/>
                <w:sz w:val="20"/>
                <w:szCs w:val="20"/>
                <w:lang w:val="en-GB"/>
              </w:rPr>
              <w:t>27.</w:t>
            </w:r>
            <w:r w:rsidR="00F874F8" w:rsidRPr="005321D5">
              <w:rPr>
                <w:rFonts w:asciiTheme="minorHAnsi" w:hAnsiTheme="minorHAnsi" w:cstheme="minorHAnsi"/>
                <w:color w:val="000000"/>
                <w:sz w:val="20"/>
                <w:szCs w:val="20"/>
                <w:lang w:val="en-GB"/>
              </w:rPr>
              <w:t>8%</w:t>
            </w:r>
          </w:p>
        </w:tc>
      </w:tr>
      <w:tr w:rsidR="00F874F8" w:rsidRPr="005321D5" w14:paraId="557C6B80" w14:textId="77777777" w:rsidTr="00B31B6D">
        <w:trPr>
          <w:trHeight w:val="390"/>
        </w:trPr>
        <w:tc>
          <w:tcPr>
            <w:tcW w:w="3360" w:type="dxa"/>
            <w:tcBorders>
              <w:top w:val="single" w:sz="8" w:space="0" w:color="auto"/>
              <w:left w:val="single" w:sz="8" w:space="0" w:color="auto"/>
              <w:bottom w:val="single" w:sz="8" w:space="0" w:color="auto"/>
              <w:right w:val="single" w:sz="4" w:space="0" w:color="auto"/>
            </w:tcBorders>
            <w:shd w:val="clear" w:color="000000" w:fill="DAEEF3"/>
            <w:noWrap/>
            <w:vAlign w:val="center"/>
            <w:hideMark/>
          </w:tcPr>
          <w:p w14:paraId="547CFC6E" w14:textId="76A4D21A" w:rsidR="00F874F8" w:rsidRPr="005321D5" w:rsidRDefault="006F3496" w:rsidP="00F874F8">
            <w:pPr>
              <w:spacing w:line="276" w:lineRule="auto"/>
              <w:ind w:firstLineChars="100" w:firstLine="200"/>
              <w:rPr>
                <w:rFonts w:asciiTheme="minorHAnsi" w:hAnsiTheme="minorHAnsi" w:cstheme="minorHAnsi"/>
                <w:b/>
                <w:color w:val="000000"/>
                <w:sz w:val="20"/>
                <w:szCs w:val="20"/>
                <w:lang w:val="en-GB"/>
              </w:rPr>
            </w:pPr>
            <w:r w:rsidRPr="005321D5">
              <w:rPr>
                <w:rFonts w:asciiTheme="minorHAnsi" w:hAnsiTheme="minorHAnsi" w:cstheme="minorHAnsi"/>
                <w:b/>
                <w:color w:val="000000"/>
                <w:sz w:val="20"/>
                <w:szCs w:val="20"/>
                <w:lang w:val="en-GB"/>
              </w:rPr>
              <w:t>Total</w:t>
            </w:r>
          </w:p>
        </w:tc>
        <w:tc>
          <w:tcPr>
            <w:tcW w:w="1900" w:type="dxa"/>
            <w:tcBorders>
              <w:top w:val="single" w:sz="8" w:space="0" w:color="auto"/>
              <w:left w:val="nil"/>
              <w:bottom w:val="single" w:sz="8" w:space="0" w:color="auto"/>
              <w:right w:val="single" w:sz="4" w:space="0" w:color="auto"/>
            </w:tcBorders>
            <w:shd w:val="clear" w:color="000000" w:fill="DAEEF3"/>
            <w:noWrap/>
            <w:vAlign w:val="center"/>
            <w:hideMark/>
          </w:tcPr>
          <w:p w14:paraId="59ECED30" w14:textId="77777777" w:rsidR="00F874F8" w:rsidRPr="005321D5" w:rsidRDefault="00F874F8" w:rsidP="00F874F8">
            <w:pPr>
              <w:spacing w:line="276" w:lineRule="auto"/>
              <w:jc w:val="center"/>
              <w:rPr>
                <w:rFonts w:asciiTheme="minorHAnsi" w:hAnsiTheme="minorHAnsi" w:cstheme="minorHAnsi"/>
                <w:b/>
                <w:color w:val="000000"/>
                <w:sz w:val="20"/>
                <w:szCs w:val="20"/>
                <w:lang w:val="en-GB"/>
              </w:rPr>
            </w:pPr>
            <w:r w:rsidRPr="005321D5">
              <w:rPr>
                <w:rFonts w:asciiTheme="minorHAnsi" w:hAnsiTheme="minorHAnsi" w:cstheme="minorHAnsi"/>
                <w:b/>
                <w:color w:val="000000"/>
                <w:sz w:val="20"/>
                <w:szCs w:val="20"/>
                <w:lang w:val="en-GB"/>
              </w:rPr>
              <w:t>140</w:t>
            </w:r>
          </w:p>
        </w:tc>
        <w:tc>
          <w:tcPr>
            <w:tcW w:w="1760" w:type="dxa"/>
            <w:tcBorders>
              <w:top w:val="single" w:sz="8" w:space="0" w:color="auto"/>
              <w:left w:val="nil"/>
              <w:bottom w:val="single" w:sz="8" w:space="0" w:color="auto"/>
              <w:right w:val="nil"/>
            </w:tcBorders>
            <w:shd w:val="clear" w:color="000000" w:fill="DAEEF3"/>
            <w:noWrap/>
            <w:vAlign w:val="center"/>
            <w:hideMark/>
          </w:tcPr>
          <w:p w14:paraId="7154337C" w14:textId="77777777" w:rsidR="00F874F8" w:rsidRPr="005321D5" w:rsidRDefault="00F874F8" w:rsidP="00F874F8">
            <w:pPr>
              <w:spacing w:line="276" w:lineRule="auto"/>
              <w:jc w:val="center"/>
              <w:rPr>
                <w:rFonts w:asciiTheme="minorHAnsi" w:hAnsiTheme="minorHAnsi" w:cstheme="minorHAnsi"/>
                <w:b/>
                <w:color w:val="000000"/>
                <w:sz w:val="20"/>
                <w:szCs w:val="20"/>
                <w:lang w:val="en-GB"/>
              </w:rPr>
            </w:pPr>
            <w:r w:rsidRPr="005321D5">
              <w:rPr>
                <w:rFonts w:asciiTheme="minorHAnsi" w:hAnsiTheme="minorHAnsi" w:cstheme="minorHAnsi"/>
                <w:b/>
                <w:color w:val="000000"/>
                <w:sz w:val="20"/>
                <w:szCs w:val="20"/>
                <w:lang w:val="en-GB"/>
              </w:rPr>
              <w:t>44</w:t>
            </w:r>
          </w:p>
        </w:tc>
        <w:tc>
          <w:tcPr>
            <w:tcW w:w="2140" w:type="dxa"/>
            <w:tcBorders>
              <w:top w:val="single" w:sz="8" w:space="0" w:color="auto"/>
              <w:left w:val="single" w:sz="4" w:space="0" w:color="auto"/>
              <w:bottom w:val="single" w:sz="8" w:space="0" w:color="auto"/>
              <w:right w:val="single" w:sz="8" w:space="0" w:color="auto"/>
            </w:tcBorders>
            <w:shd w:val="clear" w:color="000000" w:fill="DAEEF3"/>
            <w:noWrap/>
            <w:vAlign w:val="center"/>
            <w:hideMark/>
          </w:tcPr>
          <w:p w14:paraId="46480F36" w14:textId="33F95507" w:rsidR="00F874F8" w:rsidRPr="005321D5" w:rsidRDefault="006F3496" w:rsidP="00F874F8">
            <w:pPr>
              <w:spacing w:line="276" w:lineRule="auto"/>
              <w:ind w:firstLineChars="400" w:firstLine="800"/>
              <w:jc w:val="right"/>
              <w:rPr>
                <w:rFonts w:asciiTheme="minorHAnsi" w:hAnsiTheme="minorHAnsi" w:cstheme="minorHAnsi"/>
                <w:b/>
                <w:color w:val="000000"/>
                <w:sz w:val="20"/>
                <w:szCs w:val="20"/>
                <w:lang w:val="en-GB"/>
              </w:rPr>
            </w:pPr>
            <w:r w:rsidRPr="005321D5">
              <w:rPr>
                <w:rFonts w:asciiTheme="minorHAnsi" w:hAnsiTheme="minorHAnsi" w:cstheme="minorHAnsi"/>
                <w:b/>
                <w:color w:val="000000"/>
                <w:sz w:val="20"/>
                <w:szCs w:val="20"/>
                <w:lang w:val="en-GB"/>
              </w:rPr>
              <w:t>31.</w:t>
            </w:r>
            <w:r w:rsidR="00F874F8" w:rsidRPr="005321D5">
              <w:rPr>
                <w:rFonts w:asciiTheme="minorHAnsi" w:hAnsiTheme="minorHAnsi" w:cstheme="minorHAnsi"/>
                <w:b/>
                <w:color w:val="000000"/>
                <w:sz w:val="20"/>
                <w:szCs w:val="20"/>
                <w:lang w:val="en-GB"/>
              </w:rPr>
              <w:t>4%</w:t>
            </w:r>
          </w:p>
        </w:tc>
      </w:tr>
    </w:tbl>
    <w:p w14:paraId="2134E205" w14:textId="77777777" w:rsidR="00F874F8" w:rsidRPr="005321D5" w:rsidRDefault="00F874F8" w:rsidP="00F874F8">
      <w:pPr>
        <w:spacing w:line="276" w:lineRule="auto"/>
        <w:jc w:val="both"/>
        <w:rPr>
          <w:rFonts w:asciiTheme="minorHAnsi" w:hAnsiTheme="minorHAnsi" w:cstheme="minorHAnsi"/>
          <w:bCs/>
          <w:sz w:val="22"/>
          <w:szCs w:val="22"/>
          <w:lang w:val="en-GB"/>
        </w:rPr>
      </w:pPr>
    </w:p>
    <w:p w14:paraId="314982EA" w14:textId="77777777" w:rsidR="006F3496" w:rsidRPr="005321D5" w:rsidRDefault="006F3496" w:rsidP="006F3496">
      <w:pPr>
        <w:spacing w:before="120" w:after="120" w:line="276" w:lineRule="auto"/>
        <w:jc w:val="both"/>
        <w:rPr>
          <w:rFonts w:asciiTheme="minorHAnsi" w:eastAsiaTheme="minorHAnsi" w:hAnsiTheme="minorHAnsi" w:cstheme="minorHAnsi"/>
          <w:b/>
          <w:sz w:val="22"/>
          <w:szCs w:val="22"/>
          <w:lang w:val="en-GB"/>
        </w:rPr>
      </w:pPr>
      <w:r w:rsidRPr="005321D5">
        <w:rPr>
          <w:rFonts w:asciiTheme="minorHAnsi" w:eastAsiaTheme="minorHAnsi" w:hAnsiTheme="minorHAnsi" w:cstheme="minorHAnsi"/>
          <w:b/>
          <w:sz w:val="22"/>
          <w:szCs w:val="22"/>
          <w:lang w:val="en-GB"/>
        </w:rPr>
        <w:t>Deficiencies identified</w:t>
      </w:r>
    </w:p>
    <w:p w14:paraId="6C30194E" w14:textId="67B0F362" w:rsidR="006F3496" w:rsidRPr="005321D5" w:rsidRDefault="006F3496" w:rsidP="006F3496">
      <w:pPr>
        <w:spacing w:before="120" w:after="120" w:line="276" w:lineRule="auto"/>
        <w:jc w:val="both"/>
        <w:rPr>
          <w:rFonts w:asciiTheme="minorHAnsi" w:eastAsiaTheme="minorHAnsi" w:hAnsiTheme="minorHAnsi" w:cstheme="minorHAnsi"/>
          <w:sz w:val="22"/>
          <w:szCs w:val="22"/>
          <w:lang w:val="en-GB"/>
        </w:rPr>
      </w:pPr>
      <w:r w:rsidRPr="005321D5">
        <w:rPr>
          <w:rFonts w:asciiTheme="minorHAnsi" w:eastAsiaTheme="minorHAnsi" w:hAnsiTheme="minorHAnsi" w:cstheme="minorHAnsi"/>
          <w:b/>
          <w:sz w:val="22"/>
          <w:szCs w:val="22"/>
          <w:lang w:val="en-GB"/>
        </w:rPr>
        <w:t xml:space="preserve">Violations of Act No. 206/2015 Coll., on pyrotechnic articles and their handling </w:t>
      </w:r>
      <w:proofErr w:type="gramStart"/>
      <w:r w:rsidRPr="005321D5">
        <w:rPr>
          <w:rFonts w:asciiTheme="minorHAnsi" w:eastAsiaTheme="minorHAnsi" w:hAnsiTheme="minorHAnsi" w:cstheme="minorHAnsi"/>
          <w:sz w:val="22"/>
          <w:szCs w:val="22"/>
          <w:lang w:val="en-GB"/>
        </w:rPr>
        <w:t>were detected</w:t>
      </w:r>
      <w:proofErr w:type="gramEnd"/>
      <w:r w:rsidRPr="005321D5">
        <w:rPr>
          <w:rFonts w:asciiTheme="minorHAnsi" w:eastAsiaTheme="minorHAnsi" w:hAnsiTheme="minorHAnsi" w:cstheme="minorHAnsi"/>
          <w:sz w:val="22"/>
          <w:szCs w:val="22"/>
          <w:lang w:val="en-GB"/>
        </w:rPr>
        <w:t xml:space="preserve"> in 23 cases, specifically:</w:t>
      </w:r>
    </w:p>
    <w:p w14:paraId="0C47BE6C" w14:textId="12E0DCED" w:rsidR="006F3496" w:rsidRPr="005321D5" w:rsidRDefault="006F3496" w:rsidP="006F3496">
      <w:pPr>
        <w:pStyle w:val="Odstavecseseznamem"/>
        <w:numPr>
          <w:ilvl w:val="0"/>
          <w:numId w:val="40"/>
        </w:numPr>
        <w:spacing w:before="120" w:after="120"/>
        <w:jc w:val="both"/>
        <w:rPr>
          <w:rFonts w:asciiTheme="minorHAnsi" w:eastAsiaTheme="minorHAnsi" w:hAnsiTheme="minorHAnsi" w:cstheme="minorHAnsi"/>
          <w:lang w:val="en-GB"/>
        </w:rPr>
      </w:pPr>
      <w:r w:rsidRPr="005321D5">
        <w:rPr>
          <w:rFonts w:asciiTheme="minorHAnsi" w:eastAsiaTheme="minorHAnsi" w:hAnsiTheme="minorHAnsi" w:cstheme="minorHAnsi"/>
          <w:lang w:val="en-GB"/>
        </w:rPr>
        <w:t xml:space="preserve">in 8 cases, the storage requirements for pyrotechnic articles </w:t>
      </w:r>
      <w:r w:rsidRPr="005321D5">
        <w:rPr>
          <w:rFonts w:asciiTheme="minorHAnsi" w:eastAsiaTheme="minorHAnsi" w:hAnsiTheme="minorHAnsi" w:cstheme="minorHAnsi"/>
          <w:lang w:val="en-GB"/>
        </w:rPr>
        <w:t xml:space="preserve">were violated (Section 26 par. </w:t>
      </w:r>
      <w:r w:rsidRPr="005321D5">
        <w:rPr>
          <w:rFonts w:asciiTheme="minorHAnsi" w:eastAsiaTheme="minorHAnsi" w:hAnsiTheme="minorHAnsi" w:cstheme="minorHAnsi"/>
          <w:lang w:val="en-GB"/>
        </w:rPr>
        <w:t>1)</w:t>
      </w:r>
    </w:p>
    <w:p w14:paraId="3760FD17" w14:textId="6E9B157F" w:rsidR="006F3496" w:rsidRPr="005321D5" w:rsidRDefault="006F3496" w:rsidP="006F3496">
      <w:pPr>
        <w:pStyle w:val="Odstavecseseznamem"/>
        <w:numPr>
          <w:ilvl w:val="0"/>
          <w:numId w:val="40"/>
        </w:numPr>
        <w:spacing w:before="120" w:after="120"/>
        <w:jc w:val="both"/>
        <w:rPr>
          <w:rFonts w:asciiTheme="minorHAnsi" w:eastAsiaTheme="minorHAnsi" w:hAnsiTheme="minorHAnsi" w:cstheme="minorHAnsi"/>
          <w:lang w:val="en-GB"/>
        </w:rPr>
      </w:pPr>
      <w:r w:rsidRPr="005321D5">
        <w:rPr>
          <w:rFonts w:asciiTheme="minorHAnsi" w:eastAsiaTheme="minorHAnsi" w:hAnsiTheme="minorHAnsi" w:cstheme="minorHAnsi"/>
          <w:lang w:val="en-GB"/>
        </w:rPr>
        <w:t xml:space="preserve">in 5 cases, pyrotechnic articles of categories F1, F2 </w:t>
      </w:r>
      <w:r w:rsidRPr="005321D5">
        <w:rPr>
          <w:rFonts w:asciiTheme="minorHAnsi" w:eastAsiaTheme="minorHAnsi" w:hAnsiTheme="minorHAnsi" w:cstheme="minorHAnsi"/>
          <w:lang w:val="en-GB"/>
        </w:rPr>
        <w:t>were</w:t>
      </w:r>
      <w:r w:rsidRPr="005321D5">
        <w:rPr>
          <w:rFonts w:asciiTheme="minorHAnsi" w:eastAsiaTheme="minorHAnsi" w:hAnsiTheme="minorHAnsi" w:cstheme="minorHAnsi"/>
          <w:lang w:val="en-GB"/>
        </w:rPr>
        <w:t xml:space="preserve"> sold to persons under</w:t>
      </w:r>
      <w:r w:rsidRPr="005321D5">
        <w:rPr>
          <w:rFonts w:asciiTheme="minorHAnsi" w:eastAsiaTheme="minorHAnsi" w:hAnsiTheme="minorHAnsi" w:cstheme="minorHAnsi"/>
          <w:lang w:val="en-GB"/>
        </w:rPr>
        <w:t xml:space="preserve"> the age required</w:t>
      </w:r>
      <w:r w:rsidRPr="005321D5">
        <w:rPr>
          <w:rFonts w:asciiTheme="minorHAnsi" w:eastAsiaTheme="minorHAnsi" w:hAnsiTheme="minorHAnsi" w:cstheme="minorHAnsi"/>
          <w:lang w:val="en-GB"/>
        </w:rPr>
        <w:t xml:space="preserve"> </w:t>
      </w:r>
      <w:r w:rsidRPr="005321D5">
        <w:rPr>
          <w:rFonts w:asciiTheme="minorHAnsi" w:eastAsiaTheme="minorHAnsi" w:hAnsiTheme="minorHAnsi" w:cstheme="minorHAnsi"/>
          <w:lang w:val="en-GB"/>
        </w:rPr>
        <w:t xml:space="preserve">by law (Section 5 </w:t>
      </w:r>
      <w:r w:rsidRPr="005321D5">
        <w:rPr>
          <w:rFonts w:asciiTheme="minorHAnsi" w:eastAsiaTheme="minorHAnsi" w:hAnsiTheme="minorHAnsi" w:cstheme="minorHAnsi"/>
          <w:lang w:val="en-GB"/>
        </w:rPr>
        <w:t xml:space="preserve">par. </w:t>
      </w:r>
      <w:r w:rsidRPr="005321D5">
        <w:rPr>
          <w:rFonts w:asciiTheme="minorHAnsi" w:eastAsiaTheme="minorHAnsi" w:hAnsiTheme="minorHAnsi" w:cstheme="minorHAnsi"/>
          <w:lang w:val="en-GB"/>
        </w:rPr>
        <w:t>1</w:t>
      </w:r>
      <w:r w:rsidRPr="005321D5">
        <w:rPr>
          <w:rFonts w:asciiTheme="minorHAnsi" w:eastAsiaTheme="minorHAnsi" w:hAnsiTheme="minorHAnsi" w:cstheme="minorHAnsi"/>
          <w:lang w:val="en-GB"/>
        </w:rPr>
        <w:t>)</w:t>
      </w:r>
    </w:p>
    <w:p w14:paraId="1EDA3C9D" w14:textId="26DC5B01" w:rsidR="006F3496" w:rsidRPr="005321D5" w:rsidRDefault="006F3496" w:rsidP="006F3496">
      <w:pPr>
        <w:pStyle w:val="Odstavecseseznamem"/>
        <w:numPr>
          <w:ilvl w:val="0"/>
          <w:numId w:val="40"/>
        </w:numPr>
        <w:spacing w:before="120" w:after="120"/>
        <w:jc w:val="both"/>
        <w:rPr>
          <w:rFonts w:asciiTheme="minorHAnsi" w:eastAsiaTheme="minorHAnsi" w:hAnsiTheme="minorHAnsi" w:cstheme="minorHAnsi"/>
          <w:lang w:val="en-GB"/>
        </w:rPr>
      </w:pPr>
      <w:r w:rsidRPr="005321D5">
        <w:rPr>
          <w:rFonts w:asciiTheme="minorHAnsi" w:eastAsiaTheme="minorHAnsi" w:hAnsiTheme="minorHAnsi" w:cstheme="minorHAnsi"/>
          <w:lang w:val="en-GB"/>
        </w:rPr>
        <w:t>in 3 c</w:t>
      </w:r>
      <w:r w:rsidRPr="005321D5">
        <w:rPr>
          <w:rFonts w:asciiTheme="minorHAnsi" w:eastAsiaTheme="minorHAnsi" w:hAnsiTheme="minorHAnsi" w:cstheme="minorHAnsi"/>
          <w:lang w:val="en-GB"/>
        </w:rPr>
        <w:t>ases, a breach of the provision</w:t>
      </w:r>
      <w:r w:rsidRPr="005321D5">
        <w:rPr>
          <w:rFonts w:asciiTheme="minorHAnsi" w:eastAsiaTheme="minorHAnsi" w:hAnsiTheme="minorHAnsi" w:cstheme="minorHAnsi"/>
          <w:lang w:val="en-GB"/>
        </w:rPr>
        <w:t xml:space="preserve"> on the storage and sale of pyrotechnic articles of category F1 </w:t>
      </w:r>
      <w:r w:rsidRPr="005321D5">
        <w:rPr>
          <w:rFonts w:asciiTheme="minorHAnsi" w:eastAsiaTheme="minorHAnsi" w:hAnsiTheme="minorHAnsi" w:cstheme="minorHAnsi"/>
          <w:lang w:val="en-GB"/>
        </w:rPr>
        <w:t>was</w:t>
      </w:r>
      <w:r w:rsidRPr="005321D5">
        <w:rPr>
          <w:rFonts w:asciiTheme="minorHAnsi" w:eastAsiaTheme="minorHAnsi" w:hAnsiTheme="minorHAnsi" w:cstheme="minorHAnsi"/>
          <w:lang w:val="en-GB"/>
        </w:rPr>
        <w:t xml:space="preserve"> detected (§ 29 par. 1)</w:t>
      </w:r>
    </w:p>
    <w:p w14:paraId="35542409" w14:textId="221BFD97" w:rsidR="006F3496" w:rsidRPr="005321D5" w:rsidRDefault="006F3496" w:rsidP="006F3496">
      <w:pPr>
        <w:pStyle w:val="Odstavecseseznamem"/>
        <w:numPr>
          <w:ilvl w:val="0"/>
          <w:numId w:val="40"/>
        </w:numPr>
        <w:spacing w:before="120" w:after="120"/>
        <w:jc w:val="both"/>
        <w:rPr>
          <w:rFonts w:asciiTheme="minorHAnsi" w:eastAsiaTheme="minorHAnsi" w:hAnsiTheme="minorHAnsi" w:cstheme="minorHAnsi"/>
          <w:lang w:val="en-GB"/>
        </w:rPr>
      </w:pPr>
      <w:r w:rsidRPr="005321D5">
        <w:rPr>
          <w:rFonts w:asciiTheme="minorHAnsi" w:eastAsiaTheme="minorHAnsi" w:hAnsiTheme="minorHAnsi" w:cstheme="minorHAnsi"/>
          <w:lang w:val="en-GB"/>
        </w:rPr>
        <w:t xml:space="preserve">deficiencies in the keeping of the register of stored pyrotechnic articles </w:t>
      </w:r>
      <w:r w:rsidRPr="005321D5">
        <w:rPr>
          <w:rFonts w:asciiTheme="minorHAnsi" w:eastAsiaTheme="minorHAnsi" w:hAnsiTheme="minorHAnsi" w:cstheme="minorHAnsi"/>
          <w:lang w:val="en-GB"/>
        </w:rPr>
        <w:t>were</w:t>
      </w:r>
      <w:r w:rsidRPr="005321D5">
        <w:rPr>
          <w:rFonts w:asciiTheme="minorHAnsi" w:eastAsiaTheme="minorHAnsi" w:hAnsiTheme="minorHAnsi" w:cstheme="minorHAnsi"/>
          <w:lang w:val="en-GB"/>
        </w:rPr>
        <w:t xml:space="preserve"> identified</w:t>
      </w:r>
      <w:r w:rsidRPr="005321D5">
        <w:rPr>
          <w:rFonts w:asciiTheme="minorHAnsi" w:eastAsiaTheme="minorHAnsi" w:hAnsiTheme="minorHAnsi" w:cstheme="minorHAnsi"/>
          <w:lang w:val="en-GB"/>
        </w:rPr>
        <w:t xml:space="preserve"> in 3 cases (Section 26 </w:t>
      </w:r>
      <w:r w:rsidRPr="005321D5">
        <w:rPr>
          <w:rFonts w:asciiTheme="minorHAnsi" w:eastAsiaTheme="minorHAnsi" w:hAnsiTheme="minorHAnsi" w:cstheme="minorHAnsi"/>
          <w:lang w:val="en-GB"/>
        </w:rPr>
        <w:t xml:space="preserve">par. </w:t>
      </w:r>
      <w:r w:rsidRPr="005321D5">
        <w:rPr>
          <w:rFonts w:asciiTheme="minorHAnsi" w:eastAsiaTheme="minorHAnsi" w:hAnsiTheme="minorHAnsi" w:cstheme="minorHAnsi"/>
          <w:lang w:val="en-GB"/>
        </w:rPr>
        <w:t>3</w:t>
      </w:r>
      <w:r w:rsidRPr="005321D5">
        <w:rPr>
          <w:rFonts w:asciiTheme="minorHAnsi" w:eastAsiaTheme="minorHAnsi" w:hAnsiTheme="minorHAnsi" w:cstheme="minorHAnsi"/>
          <w:lang w:val="en-GB"/>
        </w:rPr>
        <w:t>)</w:t>
      </w:r>
    </w:p>
    <w:p w14:paraId="77F72E4E" w14:textId="624BBCCA" w:rsidR="006F3496" w:rsidRPr="005321D5" w:rsidRDefault="006F3496" w:rsidP="006F3496">
      <w:pPr>
        <w:pStyle w:val="Odstavecseseznamem"/>
        <w:numPr>
          <w:ilvl w:val="0"/>
          <w:numId w:val="40"/>
        </w:numPr>
        <w:spacing w:before="120" w:after="120"/>
        <w:jc w:val="both"/>
        <w:rPr>
          <w:rFonts w:asciiTheme="minorHAnsi" w:eastAsiaTheme="minorHAnsi" w:hAnsiTheme="minorHAnsi" w:cstheme="minorHAnsi"/>
          <w:lang w:val="en-GB"/>
        </w:rPr>
      </w:pPr>
      <w:r w:rsidRPr="005321D5">
        <w:rPr>
          <w:rFonts w:asciiTheme="minorHAnsi" w:eastAsiaTheme="minorHAnsi" w:hAnsiTheme="minorHAnsi" w:cstheme="minorHAnsi"/>
          <w:lang w:val="en-GB"/>
        </w:rPr>
        <w:t xml:space="preserve">in 2 cases, the prohibition of certain activities in premises where pyrotechnic articles are stored </w:t>
      </w:r>
      <w:r w:rsidRPr="005321D5">
        <w:rPr>
          <w:rFonts w:asciiTheme="minorHAnsi" w:eastAsiaTheme="minorHAnsi" w:hAnsiTheme="minorHAnsi" w:cstheme="minorHAnsi"/>
          <w:lang w:val="en-GB"/>
        </w:rPr>
        <w:t>was</w:t>
      </w:r>
      <w:r w:rsidRPr="005321D5">
        <w:rPr>
          <w:rFonts w:asciiTheme="minorHAnsi" w:eastAsiaTheme="minorHAnsi" w:hAnsiTheme="minorHAnsi" w:cstheme="minorHAnsi"/>
          <w:lang w:val="en-GB"/>
        </w:rPr>
        <w:t xml:space="preserve"> violated (Section 26</w:t>
      </w:r>
      <w:r w:rsidRPr="005321D5">
        <w:rPr>
          <w:rFonts w:asciiTheme="minorHAnsi" w:eastAsiaTheme="minorHAnsi" w:hAnsiTheme="minorHAnsi" w:cstheme="minorHAnsi"/>
          <w:lang w:val="en-GB"/>
        </w:rPr>
        <w:t xml:space="preserve"> par. 4</w:t>
      </w:r>
      <w:r w:rsidRPr="005321D5">
        <w:rPr>
          <w:rFonts w:asciiTheme="minorHAnsi" w:eastAsiaTheme="minorHAnsi" w:hAnsiTheme="minorHAnsi" w:cstheme="minorHAnsi"/>
          <w:lang w:val="en-GB"/>
        </w:rPr>
        <w:t>)</w:t>
      </w:r>
    </w:p>
    <w:p w14:paraId="7B5E8A05" w14:textId="69E5C73B" w:rsidR="006F3496" w:rsidRPr="005321D5" w:rsidRDefault="006F3496" w:rsidP="006F3496">
      <w:pPr>
        <w:pStyle w:val="Odstavecseseznamem"/>
        <w:numPr>
          <w:ilvl w:val="0"/>
          <w:numId w:val="40"/>
        </w:numPr>
        <w:spacing w:before="120" w:after="120"/>
        <w:jc w:val="both"/>
        <w:rPr>
          <w:rFonts w:asciiTheme="minorHAnsi" w:eastAsiaTheme="minorHAnsi" w:hAnsiTheme="minorHAnsi" w:cstheme="minorHAnsi"/>
          <w:lang w:val="en-GB"/>
        </w:rPr>
      </w:pPr>
      <w:r w:rsidRPr="005321D5">
        <w:rPr>
          <w:rFonts w:asciiTheme="minorHAnsi" w:eastAsiaTheme="minorHAnsi" w:hAnsiTheme="minorHAnsi" w:cstheme="minorHAnsi"/>
          <w:lang w:val="en-GB"/>
        </w:rPr>
        <w:t xml:space="preserve">in 2 cases, the provisions concerning the construction technical requirements for sales </w:t>
      </w:r>
      <w:r w:rsidRPr="005321D5">
        <w:rPr>
          <w:rFonts w:asciiTheme="minorHAnsi" w:eastAsiaTheme="minorHAnsi" w:hAnsiTheme="minorHAnsi" w:cstheme="minorHAnsi"/>
          <w:lang w:val="en-GB"/>
        </w:rPr>
        <w:t>establishments</w:t>
      </w:r>
      <w:r w:rsidRPr="005321D5">
        <w:rPr>
          <w:rFonts w:asciiTheme="minorHAnsi" w:eastAsiaTheme="minorHAnsi" w:hAnsiTheme="minorHAnsi" w:cstheme="minorHAnsi"/>
          <w:lang w:val="en-GB"/>
        </w:rPr>
        <w:t xml:space="preserve"> and </w:t>
      </w:r>
      <w:proofErr w:type="spellStart"/>
      <w:r w:rsidRPr="005321D5">
        <w:rPr>
          <w:rFonts w:asciiTheme="minorHAnsi" w:eastAsiaTheme="minorHAnsi" w:hAnsiTheme="minorHAnsi" w:cstheme="minorHAnsi"/>
          <w:lang w:val="en-GB"/>
        </w:rPr>
        <w:t>hand</w:t>
      </w:r>
      <w:proofErr w:type="spellEnd"/>
      <w:r w:rsidRPr="005321D5">
        <w:rPr>
          <w:rFonts w:asciiTheme="minorHAnsi" w:eastAsiaTheme="minorHAnsi" w:hAnsiTheme="minorHAnsi" w:cstheme="minorHAnsi"/>
          <w:lang w:val="en-GB"/>
        </w:rPr>
        <w:t xml:space="preserve"> warehouses of pyrotechnic articles </w:t>
      </w:r>
      <w:r w:rsidRPr="005321D5">
        <w:rPr>
          <w:rFonts w:asciiTheme="minorHAnsi" w:eastAsiaTheme="minorHAnsi" w:hAnsiTheme="minorHAnsi" w:cstheme="minorHAnsi"/>
          <w:lang w:val="en-GB"/>
        </w:rPr>
        <w:t>were</w:t>
      </w:r>
      <w:r w:rsidRPr="005321D5">
        <w:rPr>
          <w:rFonts w:asciiTheme="minorHAnsi" w:eastAsiaTheme="minorHAnsi" w:hAnsiTheme="minorHAnsi" w:cstheme="minorHAnsi"/>
          <w:lang w:val="en-GB"/>
        </w:rPr>
        <w:t xml:space="preserve"> violated (§ 26</w:t>
      </w:r>
      <w:r w:rsidRPr="005321D5">
        <w:rPr>
          <w:rFonts w:asciiTheme="minorHAnsi" w:eastAsiaTheme="minorHAnsi" w:hAnsiTheme="minorHAnsi" w:cstheme="minorHAnsi"/>
          <w:lang w:val="en-GB"/>
        </w:rPr>
        <w:t xml:space="preserve"> </w:t>
      </w:r>
      <w:r w:rsidRPr="005321D5">
        <w:rPr>
          <w:rFonts w:asciiTheme="minorHAnsi" w:eastAsiaTheme="minorHAnsi" w:hAnsiTheme="minorHAnsi" w:cstheme="minorHAnsi"/>
          <w:lang w:val="en-GB"/>
        </w:rPr>
        <w:t>par. 2)</w:t>
      </w:r>
    </w:p>
    <w:p w14:paraId="77B86D1C" w14:textId="38222A79" w:rsidR="006F3496" w:rsidRPr="005321D5" w:rsidRDefault="006F3496" w:rsidP="006F3496">
      <w:pPr>
        <w:tabs>
          <w:tab w:val="left" w:pos="9214"/>
        </w:tabs>
        <w:spacing w:before="120" w:after="120" w:line="276" w:lineRule="auto"/>
        <w:jc w:val="both"/>
        <w:rPr>
          <w:rFonts w:asciiTheme="minorHAnsi" w:eastAsiaTheme="minorHAnsi" w:hAnsiTheme="minorHAnsi" w:cstheme="minorHAnsi"/>
          <w:sz w:val="22"/>
          <w:szCs w:val="22"/>
          <w:lang w:val="en-GB"/>
        </w:rPr>
      </w:pPr>
      <w:r w:rsidRPr="005321D5">
        <w:rPr>
          <w:rFonts w:asciiTheme="minorHAnsi" w:eastAsiaTheme="minorHAnsi" w:hAnsiTheme="minorHAnsi" w:cstheme="minorHAnsi"/>
          <w:b/>
          <w:sz w:val="22"/>
          <w:szCs w:val="22"/>
          <w:lang w:val="en-GB"/>
        </w:rPr>
        <w:t>Violation of Act No. 634/1992 Coll., on Consumer Protection</w:t>
      </w:r>
      <w:r w:rsidRPr="005321D5">
        <w:rPr>
          <w:rFonts w:asciiTheme="minorHAnsi" w:eastAsiaTheme="minorHAnsi" w:hAnsiTheme="minorHAnsi" w:cstheme="minorHAnsi"/>
          <w:sz w:val="22"/>
          <w:szCs w:val="22"/>
          <w:lang w:val="en-GB"/>
        </w:rPr>
        <w:t xml:space="preserve">, </w:t>
      </w:r>
      <w:proofErr w:type="gramStart"/>
      <w:r w:rsidRPr="005321D5">
        <w:rPr>
          <w:rFonts w:asciiTheme="minorHAnsi" w:eastAsiaTheme="minorHAnsi" w:hAnsiTheme="minorHAnsi" w:cstheme="minorHAnsi"/>
          <w:sz w:val="22"/>
          <w:szCs w:val="22"/>
          <w:lang w:val="en-GB"/>
        </w:rPr>
        <w:t>was detected</w:t>
      </w:r>
      <w:proofErr w:type="gramEnd"/>
      <w:r w:rsidRPr="005321D5">
        <w:rPr>
          <w:rFonts w:asciiTheme="minorHAnsi" w:eastAsiaTheme="minorHAnsi" w:hAnsiTheme="minorHAnsi" w:cstheme="minorHAnsi"/>
          <w:sz w:val="22"/>
          <w:szCs w:val="22"/>
          <w:lang w:val="en-GB"/>
        </w:rPr>
        <w:t xml:space="preserve"> in 47 cases. The most co</w:t>
      </w:r>
      <w:r w:rsidRPr="005321D5">
        <w:rPr>
          <w:rFonts w:asciiTheme="minorHAnsi" w:eastAsiaTheme="minorHAnsi" w:hAnsiTheme="minorHAnsi" w:cstheme="minorHAnsi"/>
          <w:sz w:val="22"/>
          <w:szCs w:val="22"/>
          <w:lang w:val="en-GB"/>
        </w:rPr>
        <w:t>mmon finding, in 14 cases, was the</w:t>
      </w:r>
      <w:r w:rsidRPr="005321D5">
        <w:rPr>
          <w:rFonts w:asciiTheme="minorHAnsi" w:eastAsiaTheme="minorHAnsi" w:hAnsiTheme="minorHAnsi" w:cstheme="minorHAnsi"/>
          <w:sz w:val="22"/>
          <w:szCs w:val="22"/>
          <w:lang w:val="en-GB"/>
        </w:rPr>
        <w:t xml:space="preserve"> </w:t>
      </w:r>
      <w:r w:rsidRPr="005321D5">
        <w:rPr>
          <w:rFonts w:asciiTheme="minorHAnsi" w:eastAsiaTheme="minorHAnsi" w:hAnsiTheme="minorHAnsi" w:cstheme="minorHAnsi"/>
          <w:sz w:val="22"/>
          <w:szCs w:val="22"/>
          <w:lang w:val="en-GB"/>
        </w:rPr>
        <w:t>violation of the provisions of Section</w:t>
      </w:r>
      <w:r w:rsidRPr="005321D5">
        <w:rPr>
          <w:rFonts w:asciiTheme="minorHAnsi" w:eastAsiaTheme="minorHAnsi" w:hAnsiTheme="minorHAnsi" w:cstheme="minorHAnsi"/>
          <w:sz w:val="22"/>
          <w:szCs w:val="22"/>
          <w:lang w:val="en-GB"/>
        </w:rPr>
        <w:t xml:space="preserve"> 12, when the consumer </w:t>
      </w:r>
      <w:proofErr w:type="gramStart"/>
      <w:r w:rsidRPr="005321D5">
        <w:rPr>
          <w:rFonts w:asciiTheme="minorHAnsi" w:eastAsiaTheme="minorHAnsi" w:hAnsiTheme="minorHAnsi" w:cstheme="minorHAnsi"/>
          <w:sz w:val="22"/>
          <w:szCs w:val="22"/>
          <w:lang w:val="en-GB"/>
        </w:rPr>
        <w:t>was not informed</w:t>
      </w:r>
      <w:proofErr w:type="gramEnd"/>
      <w:r w:rsidRPr="005321D5">
        <w:rPr>
          <w:rFonts w:asciiTheme="minorHAnsi" w:eastAsiaTheme="minorHAnsi" w:hAnsiTheme="minorHAnsi" w:cstheme="minorHAnsi"/>
          <w:sz w:val="22"/>
          <w:szCs w:val="22"/>
          <w:lang w:val="en-GB"/>
        </w:rPr>
        <w:t xml:space="preserve"> about the price of the products sold. The next most violated provision of the Consumer Pr</w:t>
      </w:r>
      <w:r w:rsidRPr="005321D5">
        <w:rPr>
          <w:rFonts w:asciiTheme="minorHAnsi" w:eastAsiaTheme="minorHAnsi" w:hAnsiTheme="minorHAnsi" w:cstheme="minorHAnsi"/>
          <w:sz w:val="22"/>
          <w:szCs w:val="22"/>
          <w:lang w:val="en-GB"/>
        </w:rPr>
        <w:t>otection Act, in 11 cases, was Section 3 par</w:t>
      </w:r>
      <w:r w:rsidRPr="005321D5">
        <w:rPr>
          <w:rFonts w:asciiTheme="minorHAnsi" w:eastAsiaTheme="minorHAnsi" w:hAnsiTheme="minorHAnsi" w:cstheme="minorHAnsi"/>
          <w:sz w:val="22"/>
          <w:szCs w:val="22"/>
          <w:lang w:val="en-GB"/>
        </w:rPr>
        <w:t xml:space="preserve">. </w:t>
      </w:r>
      <w:r w:rsidRPr="005321D5">
        <w:rPr>
          <w:rFonts w:asciiTheme="minorHAnsi" w:eastAsiaTheme="minorHAnsi" w:hAnsiTheme="minorHAnsi" w:cstheme="minorHAnsi"/>
          <w:sz w:val="22"/>
          <w:szCs w:val="22"/>
          <w:lang w:val="en-GB"/>
        </w:rPr>
        <w:t>1 letter c) when</w:t>
      </w:r>
      <w:r w:rsidRPr="005321D5">
        <w:rPr>
          <w:rFonts w:asciiTheme="minorHAnsi" w:eastAsiaTheme="minorHAnsi" w:hAnsiTheme="minorHAnsi" w:cstheme="minorHAnsi"/>
          <w:sz w:val="22"/>
          <w:szCs w:val="22"/>
          <w:lang w:val="en-GB"/>
        </w:rPr>
        <w:t xml:space="preserve"> product prices </w:t>
      </w:r>
      <w:r w:rsidRPr="005321D5">
        <w:rPr>
          <w:rFonts w:asciiTheme="minorHAnsi" w:eastAsiaTheme="minorHAnsi" w:hAnsiTheme="minorHAnsi" w:cstheme="minorHAnsi"/>
          <w:sz w:val="22"/>
          <w:szCs w:val="22"/>
          <w:lang w:val="en-GB"/>
        </w:rPr>
        <w:t>weren‘t</w:t>
      </w:r>
      <w:r w:rsidRPr="005321D5">
        <w:rPr>
          <w:rFonts w:asciiTheme="minorHAnsi" w:eastAsiaTheme="minorHAnsi" w:hAnsiTheme="minorHAnsi" w:cstheme="minorHAnsi"/>
          <w:sz w:val="22"/>
          <w:szCs w:val="22"/>
          <w:lang w:val="en-GB"/>
        </w:rPr>
        <w:t xml:space="preserve"> correctly </w:t>
      </w:r>
      <w:r w:rsidRPr="005321D5">
        <w:rPr>
          <w:rFonts w:asciiTheme="minorHAnsi" w:eastAsiaTheme="minorHAnsi" w:hAnsiTheme="minorHAnsi" w:cstheme="minorHAnsi"/>
          <w:sz w:val="22"/>
          <w:szCs w:val="22"/>
          <w:lang w:val="en-GB"/>
        </w:rPr>
        <w:t>billed</w:t>
      </w:r>
      <w:r w:rsidRPr="005321D5">
        <w:rPr>
          <w:rFonts w:asciiTheme="minorHAnsi" w:eastAsiaTheme="minorHAnsi" w:hAnsiTheme="minorHAnsi" w:cstheme="minorHAnsi"/>
          <w:sz w:val="22"/>
          <w:szCs w:val="22"/>
          <w:lang w:val="en-GB"/>
        </w:rPr>
        <w:t xml:space="preserve">. Violations of other provisions of the Consumer Protection Act and other legislation </w:t>
      </w:r>
      <w:proofErr w:type="gramStart"/>
      <w:r w:rsidRPr="005321D5">
        <w:rPr>
          <w:rFonts w:asciiTheme="minorHAnsi" w:eastAsiaTheme="minorHAnsi" w:hAnsiTheme="minorHAnsi" w:cstheme="minorHAnsi"/>
          <w:sz w:val="22"/>
          <w:szCs w:val="22"/>
          <w:lang w:val="en-GB"/>
        </w:rPr>
        <w:t>were detected</w:t>
      </w:r>
      <w:proofErr w:type="gramEnd"/>
      <w:r w:rsidRPr="005321D5">
        <w:rPr>
          <w:rFonts w:asciiTheme="minorHAnsi" w:eastAsiaTheme="minorHAnsi" w:hAnsiTheme="minorHAnsi" w:cstheme="minorHAnsi"/>
          <w:sz w:val="22"/>
          <w:szCs w:val="22"/>
          <w:lang w:val="en-GB"/>
        </w:rPr>
        <w:t xml:space="preserve"> to a lesser extent.</w:t>
      </w:r>
    </w:p>
    <w:p w14:paraId="793ECF58" w14:textId="77777777" w:rsidR="006F3496" w:rsidRPr="005321D5" w:rsidRDefault="006F3496" w:rsidP="006F3496">
      <w:pPr>
        <w:tabs>
          <w:tab w:val="left" w:pos="9214"/>
        </w:tabs>
        <w:spacing w:before="120" w:after="120" w:line="276" w:lineRule="auto"/>
        <w:jc w:val="both"/>
        <w:rPr>
          <w:rFonts w:asciiTheme="minorHAnsi" w:eastAsiaTheme="minorHAnsi" w:hAnsiTheme="minorHAnsi" w:cstheme="minorHAnsi"/>
          <w:b/>
          <w:sz w:val="22"/>
          <w:szCs w:val="22"/>
          <w:lang w:val="en-GB"/>
        </w:rPr>
      </w:pPr>
      <w:r w:rsidRPr="005321D5">
        <w:rPr>
          <w:rFonts w:asciiTheme="minorHAnsi" w:eastAsiaTheme="minorHAnsi" w:hAnsiTheme="minorHAnsi" w:cstheme="minorHAnsi"/>
          <w:b/>
          <w:sz w:val="22"/>
          <w:szCs w:val="22"/>
          <w:lang w:val="en-GB"/>
        </w:rPr>
        <w:t xml:space="preserve">Measures imposed </w:t>
      </w:r>
    </w:p>
    <w:p w14:paraId="79A54CB0" w14:textId="260BC75F" w:rsidR="006F3496" w:rsidRPr="005321D5" w:rsidRDefault="006F3496" w:rsidP="006F3496">
      <w:pPr>
        <w:tabs>
          <w:tab w:val="left" w:pos="9214"/>
        </w:tabs>
        <w:spacing w:before="120" w:after="120" w:line="276" w:lineRule="auto"/>
        <w:jc w:val="both"/>
        <w:rPr>
          <w:rFonts w:asciiTheme="minorHAnsi" w:eastAsiaTheme="minorHAnsi" w:hAnsiTheme="minorHAnsi" w:cstheme="minorHAnsi"/>
          <w:sz w:val="22"/>
          <w:szCs w:val="22"/>
          <w:lang w:val="en-GB"/>
        </w:rPr>
      </w:pPr>
      <w:r w:rsidRPr="005321D5">
        <w:rPr>
          <w:rFonts w:asciiTheme="minorHAnsi" w:eastAsiaTheme="minorHAnsi" w:hAnsiTheme="minorHAnsi" w:cstheme="minorHAnsi"/>
          <w:sz w:val="22"/>
          <w:szCs w:val="22"/>
          <w:lang w:val="en-GB"/>
        </w:rPr>
        <w:t>Based on the detected infringements, t</w:t>
      </w:r>
      <w:r w:rsidRPr="005321D5">
        <w:rPr>
          <w:rFonts w:asciiTheme="minorHAnsi" w:eastAsiaTheme="minorHAnsi" w:hAnsiTheme="minorHAnsi" w:cstheme="minorHAnsi"/>
          <w:sz w:val="22"/>
          <w:szCs w:val="22"/>
          <w:lang w:val="en-GB"/>
        </w:rPr>
        <w:t>he Czech Trade Inspection Authority imposed 12 fines totalling CZK 40,500 between 1 October and 31 December last year.</w:t>
      </w:r>
    </w:p>
    <w:p w14:paraId="0488AD5D" w14:textId="784CCC01" w:rsidR="006F3496" w:rsidRPr="005321D5" w:rsidRDefault="006F3496" w:rsidP="006F3496">
      <w:pPr>
        <w:tabs>
          <w:tab w:val="left" w:pos="9214"/>
        </w:tabs>
        <w:spacing w:before="120" w:after="120" w:line="276" w:lineRule="auto"/>
        <w:jc w:val="both"/>
        <w:rPr>
          <w:rFonts w:asciiTheme="minorHAnsi" w:eastAsiaTheme="minorHAnsi" w:hAnsiTheme="minorHAnsi" w:cstheme="minorHAnsi"/>
          <w:sz w:val="22"/>
          <w:szCs w:val="22"/>
          <w:lang w:val="en-GB"/>
        </w:rPr>
      </w:pPr>
      <w:r w:rsidRPr="005321D5">
        <w:rPr>
          <w:rFonts w:asciiTheme="minorHAnsi" w:eastAsiaTheme="minorHAnsi" w:hAnsiTheme="minorHAnsi" w:cstheme="minorHAnsi"/>
          <w:sz w:val="22"/>
          <w:szCs w:val="22"/>
          <w:lang w:val="en-GB"/>
        </w:rPr>
        <w:t>During the inspection,</w:t>
      </w:r>
      <w:r w:rsidRPr="005321D5">
        <w:rPr>
          <w:rFonts w:asciiTheme="minorHAnsi" w:eastAsiaTheme="minorHAnsi" w:hAnsiTheme="minorHAnsi" w:cstheme="minorHAnsi"/>
          <w:sz w:val="22"/>
          <w:szCs w:val="22"/>
          <w:lang w:val="en-GB"/>
        </w:rPr>
        <w:t xml:space="preserve"> event prohibited the sale of pyrotechnic articles in the number of 58 </w:t>
      </w:r>
      <w:r w:rsidRPr="005321D5">
        <w:rPr>
          <w:rFonts w:asciiTheme="minorHAnsi" w:eastAsiaTheme="minorHAnsi" w:hAnsiTheme="minorHAnsi" w:cstheme="minorHAnsi"/>
          <w:sz w:val="22"/>
          <w:szCs w:val="22"/>
          <w:lang w:val="en-GB"/>
        </w:rPr>
        <w:t>items with the total price amounting to</w:t>
      </w:r>
      <w:r w:rsidRPr="005321D5">
        <w:rPr>
          <w:rFonts w:asciiTheme="minorHAnsi" w:eastAsiaTheme="minorHAnsi" w:hAnsiTheme="minorHAnsi" w:cstheme="minorHAnsi"/>
          <w:sz w:val="22"/>
          <w:szCs w:val="22"/>
          <w:lang w:val="en-GB"/>
        </w:rPr>
        <w:t xml:space="preserve"> CZK 3,936.</w:t>
      </w:r>
    </w:p>
    <w:p w14:paraId="0A32978D" w14:textId="4918BE96" w:rsidR="00F874F8" w:rsidRPr="005321D5" w:rsidRDefault="00F874F8" w:rsidP="00F874F8">
      <w:pPr>
        <w:tabs>
          <w:tab w:val="left" w:pos="9214"/>
        </w:tabs>
        <w:spacing w:before="120" w:after="120" w:line="276" w:lineRule="auto"/>
        <w:jc w:val="both"/>
        <w:rPr>
          <w:rFonts w:asciiTheme="minorHAnsi" w:eastAsiaTheme="minorHAnsi" w:hAnsiTheme="minorHAnsi" w:cstheme="minorHAnsi"/>
          <w:sz w:val="22"/>
          <w:szCs w:val="22"/>
          <w:lang w:val="en-GB"/>
        </w:rPr>
      </w:pPr>
      <w:r w:rsidRPr="005321D5">
        <w:rPr>
          <w:rFonts w:asciiTheme="minorHAnsi" w:eastAsiaTheme="minorHAnsi" w:hAnsiTheme="minorHAnsi" w:cstheme="minorHAnsi"/>
          <w:sz w:val="22"/>
          <w:szCs w:val="22"/>
          <w:lang w:val="en-GB"/>
        </w:rPr>
        <w:lastRenderedPageBreak/>
        <w:t>_____</w:t>
      </w:r>
      <w:r w:rsidR="006F3496" w:rsidRPr="005321D5">
        <w:rPr>
          <w:rFonts w:asciiTheme="minorHAnsi" w:eastAsiaTheme="minorHAnsi" w:hAnsiTheme="minorHAnsi" w:cstheme="minorHAnsi"/>
          <w:sz w:val="22"/>
          <w:szCs w:val="22"/>
          <w:lang w:val="en-GB"/>
        </w:rPr>
        <w:t>___</w:t>
      </w:r>
      <w:r w:rsidRPr="005321D5">
        <w:rPr>
          <w:rFonts w:asciiTheme="minorHAnsi" w:eastAsiaTheme="minorHAnsi" w:hAnsiTheme="minorHAnsi" w:cstheme="minorHAnsi"/>
          <w:sz w:val="22"/>
          <w:szCs w:val="22"/>
          <w:lang w:val="en-GB"/>
        </w:rPr>
        <w:t xml:space="preserve">_____________________________________________________________________________ </w:t>
      </w:r>
    </w:p>
    <w:p w14:paraId="42D1EDC4" w14:textId="5C7C007E" w:rsidR="006F3496" w:rsidRPr="005321D5" w:rsidRDefault="006F3496" w:rsidP="006F3496">
      <w:pPr>
        <w:spacing w:before="120" w:after="120" w:line="276" w:lineRule="auto"/>
        <w:jc w:val="both"/>
        <w:rPr>
          <w:rFonts w:asciiTheme="minorHAnsi" w:eastAsiaTheme="minorHAnsi" w:hAnsiTheme="minorHAnsi" w:cstheme="minorHAnsi"/>
          <w:sz w:val="22"/>
          <w:szCs w:val="22"/>
          <w:lang w:val="en-GB"/>
        </w:rPr>
      </w:pPr>
      <w:r w:rsidRPr="005321D5">
        <w:rPr>
          <w:rFonts w:asciiTheme="minorHAnsi" w:eastAsiaTheme="minorHAnsi" w:hAnsiTheme="minorHAnsi" w:cstheme="minorHAnsi"/>
          <w:sz w:val="22"/>
          <w:szCs w:val="22"/>
          <w:lang w:val="en-GB"/>
        </w:rPr>
        <w:t xml:space="preserve">Pyrotechnic articles of category F1 </w:t>
      </w:r>
      <w:r w:rsidRPr="005321D5">
        <w:rPr>
          <w:rFonts w:asciiTheme="minorHAnsi" w:eastAsiaTheme="minorHAnsi" w:hAnsiTheme="minorHAnsi" w:cstheme="minorHAnsi"/>
          <w:sz w:val="22"/>
          <w:szCs w:val="22"/>
          <w:lang w:val="en-GB"/>
        </w:rPr>
        <w:t>–</w:t>
      </w:r>
      <w:r w:rsidRPr="005321D5">
        <w:rPr>
          <w:rFonts w:asciiTheme="minorHAnsi" w:eastAsiaTheme="minorHAnsi" w:hAnsiTheme="minorHAnsi" w:cstheme="minorHAnsi"/>
          <w:sz w:val="22"/>
          <w:szCs w:val="22"/>
          <w:lang w:val="en-GB"/>
        </w:rPr>
        <w:t xml:space="preserve"> </w:t>
      </w:r>
      <w:r w:rsidRPr="005321D5">
        <w:rPr>
          <w:rFonts w:asciiTheme="minorHAnsi" w:eastAsiaTheme="minorHAnsi" w:hAnsiTheme="minorHAnsi" w:cstheme="minorHAnsi"/>
          <w:sz w:val="22"/>
          <w:szCs w:val="22"/>
          <w:lang w:val="en-GB"/>
        </w:rPr>
        <w:t>they pose</w:t>
      </w:r>
      <w:r w:rsidRPr="005321D5">
        <w:rPr>
          <w:rFonts w:asciiTheme="minorHAnsi" w:eastAsiaTheme="minorHAnsi" w:hAnsiTheme="minorHAnsi" w:cstheme="minorHAnsi"/>
          <w:sz w:val="22"/>
          <w:szCs w:val="22"/>
          <w:lang w:val="en-GB"/>
        </w:rPr>
        <w:t xml:space="preserve"> very little danger, have negligible noise levels, are intended for </w:t>
      </w:r>
      <w:r w:rsidRPr="005321D5">
        <w:rPr>
          <w:rFonts w:asciiTheme="minorHAnsi" w:eastAsiaTheme="minorHAnsi" w:hAnsiTheme="minorHAnsi" w:cstheme="minorHAnsi"/>
          <w:sz w:val="22"/>
          <w:szCs w:val="22"/>
          <w:lang w:val="en-GB"/>
        </w:rPr>
        <w:t xml:space="preserve">the </w:t>
      </w:r>
      <w:r w:rsidRPr="005321D5">
        <w:rPr>
          <w:rFonts w:asciiTheme="minorHAnsi" w:eastAsiaTheme="minorHAnsi" w:hAnsiTheme="minorHAnsi" w:cstheme="minorHAnsi"/>
          <w:sz w:val="22"/>
          <w:szCs w:val="22"/>
          <w:lang w:val="en-GB"/>
        </w:rPr>
        <w:t xml:space="preserve">use in </w:t>
      </w:r>
      <w:r w:rsidRPr="005321D5">
        <w:rPr>
          <w:rFonts w:asciiTheme="minorHAnsi" w:eastAsiaTheme="minorHAnsi" w:hAnsiTheme="minorHAnsi" w:cstheme="minorHAnsi"/>
          <w:sz w:val="22"/>
          <w:szCs w:val="22"/>
          <w:lang w:val="en-GB"/>
        </w:rPr>
        <w:t>restricted</w:t>
      </w:r>
      <w:r w:rsidRPr="005321D5">
        <w:rPr>
          <w:rFonts w:asciiTheme="minorHAnsi" w:eastAsiaTheme="minorHAnsi" w:hAnsiTheme="minorHAnsi" w:cstheme="minorHAnsi"/>
          <w:sz w:val="22"/>
          <w:szCs w:val="22"/>
          <w:lang w:val="en-GB"/>
        </w:rPr>
        <w:t xml:space="preserve"> areas, including indoor use in residential buildings, and include sparklers, banging balls, cracking strings, etc., which can only be sold to persons </w:t>
      </w:r>
      <w:r w:rsidRPr="005321D5">
        <w:rPr>
          <w:rFonts w:asciiTheme="minorHAnsi" w:eastAsiaTheme="minorHAnsi" w:hAnsiTheme="minorHAnsi" w:cstheme="minorHAnsi"/>
          <w:sz w:val="22"/>
          <w:szCs w:val="22"/>
          <w:lang w:val="en-GB"/>
        </w:rPr>
        <w:t>above</w:t>
      </w:r>
      <w:r w:rsidRPr="005321D5">
        <w:rPr>
          <w:rFonts w:asciiTheme="minorHAnsi" w:eastAsiaTheme="minorHAnsi" w:hAnsiTheme="minorHAnsi" w:cstheme="minorHAnsi"/>
          <w:sz w:val="22"/>
          <w:szCs w:val="22"/>
          <w:lang w:val="en-GB"/>
        </w:rPr>
        <w:t xml:space="preserve"> 15 years of age.</w:t>
      </w:r>
    </w:p>
    <w:p w14:paraId="0A9B4B3A" w14:textId="1C2BDA7C" w:rsidR="006F3496" w:rsidRPr="005321D5" w:rsidRDefault="006F3496" w:rsidP="006F3496">
      <w:pPr>
        <w:spacing w:before="120" w:after="120" w:line="276" w:lineRule="auto"/>
        <w:jc w:val="both"/>
        <w:rPr>
          <w:rFonts w:asciiTheme="minorHAnsi" w:eastAsiaTheme="minorHAnsi" w:hAnsiTheme="minorHAnsi" w:cstheme="minorHAnsi"/>
          <w:sz w:val="22"/>
          <w:szCs w:val="22"/>
          <w:lang w:val="en-GB"/>
        </w:rPr>
      </w:pPr>
      <w:r w:rsidRPr="005321D5">
        <w:rPr>
          <w:rFonts w:asciiTheme="minorHAnsi" w:eastAsiaTheme="minorHAnsi" w:hAnsiTheme="minorHAnsi" w:cstheme="minorHAnsi"/>
          <w:sz w:val="22"/>
          <w:szCs w:val="22"/>
          <w:lang w:val="en-GB"/>
        </w:rPr>
        <w:t xml:space="preserve">Pyrotechnic articles of category F2 - present a small danger and have low noise levels, are intended for outdoor use in restricted areas, include firecrackers, Roman candles, smaller rockets, smaller compacts, larger sparklers, Bengali fires, larger rotating objects, etc., this fireworks can only be sold to persons </w:t>
      </w:r>
      <w:r w:rsidRPr="005321D5">
        <w:rPr>
          <w:rFonts w:asciiTheme="minorHAnsi" w:eastAsiaTheme="minorHAnsi" w:hAnsiTheme="minorHAnsi" w:cstheme="minorHAnsi"/>
          <w:sz w:val="22"/>
          <w:szCs w:val="22"/>
          <w:lang w:val="en-GB"/>
        </w:rPr>
        <w:t>above</w:t>
      </w:r>
      <w:r w:rsidRPr="005321D5">
        <w:rPr>
          <w:rFonts w:asciiTheme="minorHAnsi" w:eastAsiaTheme="minorHAnsi" w:hAnsiTheme="minorHAnsi" w:cstheme="minorHAnsi"/>
          <w:sz w:val="22"/>
          <w:szCs w:val="22"/>
          <w:lang w:val="en-GB"/>
        </w:rPr>
        <w:t xml:space="preserve"> 18 years of age.</w:t>
      </w:r>
    </w:p>
    <w:p w14:paraId="02A1AD71" w14:textId="1BF5C863" w:rsidR="006F3496" w:rsidRPr="005321D5" w:rsidRDefault="006F3496" w:rsidP="006F3496">
      <w:pPr>
        <w:spacing w:before="120" w:after="120" w:line="276" w:lineRule="auto"/>
        <w:jc w:val="both"/>
        <w:rPr>
          <w:rFonts w:asciiTheme="minorHAnsi" w:eastAsiaTheme="minorHAnsi" w:hAnsiTheme="minorHAnsi" w:cstheme="minorHAnsi"/>
          <w:sz w:val="22"/>
          <w:szCs w:val="22"/>
          <w:lang w:val="en-GB"/>
        </w:rPr>
      </w:pPr>
      <w:r w:rsidRPr="005321D5">
        <w:rPr>
          <w:rFonts w:asciiTheme="minorHAnsi" w:eastAsiaTheme="minorHAnsi" w:hAnsiTheme="minorHAnsi" w:cstheme="minorHAnsi"/>
          <w:sz w:val="22"/>
          <w:szCs w:val="22"/>
          <w:lang w:val="en-GB"/>
        </w:rPr>
        <w:t xml:space="preserve">Pyrotechnic articles of category F3 - present a medium-sized danger, are intended for outdoor use in open spaces and their noise level does not harm human health, are </w:t>
      </w:r>
      <w:r w:rsidRPr="005321D5">
        <w:rPr>
          <w:rFonts w:asciiTheme="minorHAnsi" w:eastAsiaTheme="minorHAnsi" w:hAnsiTheme="minorHAnsi" w:cstheme="minorHAnsi"/>
          <w:sz w:val="22"/>
          <w:szCs w:val="22"/>
          <w:lang w:val="en-GB"/>
        </w:rPr>
        <w:t>freely sold</w:t>
      </w:r>
      <w:r w:rsidRPr="005321D5">
        <w:rPr>
          <w:rFonts w:asciiTheme="minorHAnsi" w:eastAsiaTheme="minorHAnsi" w:hAnsiTheme="minorHAnsi" w:cstheme="minorHAnsi"/>
          <w:sz w:val="22"/>
          <w:szCs w:val="22"/>
          <w:lang w:val="en-GB"/>
        </w:rPr>
        <w:t xml:space="preserve"> to persons who have reached the age of 21 or have obtained a certificate of professional competence pursuant to Section 37 of Act 206/2015 Coll.</w:t>
      </w:r>
    </w:p>
    <w:p w14:paraId="588821FF" w14:textId="0F877277" w:rsidR="006F3496" w:rsidRPr="005321D5" w:rsidRDefault="006F3496" w:rsidP="006F3496">
      <w:pPr>
        <w:spacing w:before="120" w:after="120" w:line="276" w:lineRule="auto"/>
        <w:jc w:val="both"/>
        <w:rPr>
          <w:rFonts w:asciiTheme="minorHAnsi" w:eastAsiaTheme="minorHAnsi" w:hAnsiTheme="minorHAnsi" w:cstheme="minorHAnsi"/>
          <w:sz w:val="22"/>
          <w:szCs w:val="22"/>
          <w:lang w:val="en-GB"/>
        </w:rPr>
      </w:pPr>
      <w:r w:rsidRPr="005321D5">
        <w:rPr>
          <w:rFonts w:asciiTheme="minorHAnsi" w:eastAsiaTheme="minorHAnsi" w:hAnsiTheme="minorHAnsi" w:cstheme="minorHAnsi"/>
          <w:sz w:val="22"/>
          <w:szCs w:val="22"/>
          <w:lang w:val="en-GB"/>
        </w:rPr>
        <w:t xml:space="preserve">Pyrotechnic articles of category F4 - present a great danger, </w:t>
      </w:r>
      <w:proofErr w:type="gramStart"/>
      <w:r w:rsidRPr="005321D5">
        <w:rPr>
          <w:rFonts w:asciiTheme="minorHAnsi" w:eastAsiaTheme="minorHAnsi" w:hAnsiTheme="minorHAnsi" w:cstheme="minorHAnsi"/>
          <w:sz w:val="22"/>
          <w:szCs w:val="22"/>
          <w:lang w:val="en-GB"/>
        </w:rPr>
        <w:t>they are intended for use only by persons</w:t>
      </w:r>
      <w:proofErr w:type="gramEnd"/>
      <w:r w:rsidRPr="005321D5">
        <w:rPr>
          <w:rFonts w:asciiTheme="minorHAnsi" w:eastAsiaTheme="minorHAnsi" w:hAnsiTheme="minorHAnsi" w:cstheme="minorHAnsi"/>
          <w:sz w:val="22"/>
          <w:szCs w:val="22"/>
          <w:lang w:val="en-GB"/>
        </w:rPr>
        <w:t xml:space="preserve"> with professional competence, their noise level does not harm human health.</w:t>
      </w:r>
    </w:p>
    <w:sectPr w:rsidR="006F3496" w:rsidRPr="005321D5" w:rsidSect="00362969">
      <w:footerReference w:type="default" r:id="rId9"/>
      <w:pgSz w:w="12240" w:h="15800"/>
      <w:pgMar w:top="1417" w:right="1417" w:bottom="1417" w:left="1417" w:header="113" w:footer="0" w:gutter="0"/>
      <w:cols w:space="708"/>
      <w:noEndnote/>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04AE9" w16cex:dateUtc="2021-01-30T20: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7D3E6CA" w16cid:durableId="23C04AE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5DAD73" w14:textId="77777777" w:rsidR="003B0173" w:rsidRDefault="003B0173" w:rsidP="00185D99">
      <w:r>
        <w:separator/>
      </w:r>
    </w:p>
  </w:endnote>
  <w:endnote w:type="continuationSeparator" w:id="0">
    <w:p w14:paraId="53DE1E74" w14:textId="77777777" w:rsidR="003B0173" w:rsidRDefault="003B0173" w:rsidP="00185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9B0BF" w14:textId="11B503B2" w:rsidR="00A16A5B" w:rsidRPr="006F3496" w:rsidRDefault="006F3496" w:rsidP="006F3496">
    <w:pPr>
      <w:pStyle w:val="Zpat"/>
      <w:rPr>
        <w:lang w:val="en-GB"/>
      </w:rPr>
    </w:pPr>
    <w:r w:rsidRPr="006E4950">
      <w:rPr>
        <w:b/>
        <w:i/>
        <w:color w:val="808080"/>
        <w:sz w:val="18"/>
        <w:szCs w:val="18"/>
        <w:lang w:val="en-GB"/>
      </w:rPr>
      <w:t>Contact:</w:t>
    </w:r>
    <w:r>
      <w:rPr>
        <w:b/>
        <w:i/>
        <w:color w:val="808080"/>
        <w:sz w:val="18"/>
        <w:szCs w:val="18"/>
        <w:lang w:val="en-GB"/>
      </w:rPr>
      <w:t xml:space="preserve">       </w:t>
    </w:r>
    <w:r w:rsidRPr="00E87AFF">
      <w:rPr>
        <w:color w:val="808080"/>
        <w:sz w:val="18"/>
        <w:szCs w:val="18"/>
        <w:lang w:val="en-GB"/>
      </w:rPr>
      <w:t>Spokesperson of the CTIA</w:t>
    </w:r>
    <w:r w:rsidRPr="006E4950">
      <w:rPr>
        <w:color w:val="808080"/>
        <w:sz w:val="18"/>
        <w:szCs w:val="18"/>
        <w:lang w:val="en-GB"/>
      </w:rPr>
      <w:tab/>
      <w:t xml:space="preserve">                                                            </w:t>
    </w:r>
    <w:r w:rsidRPr="006E4950">
      <w:rPr>
        <w:b/>
        <w:i/>
        <w:color w:val="808080"/>
        <w:sz w:val="18"/>
        <w:szCs w:val="18"/>
        <w:lang w:val="en-GB"/>
      </w:rPr>
      <w:t>Phone:</w:t>
    </w:r>
    <w:r w:rsidRPr="006E4950">
      <w:rPr>
        <w:i/>
        <w:color w:val="808080"/>
        <w:sz w:val="18"/>
        <w:szCs w:val="18"/>
        <w:lang w:val="en-GB"/>
      </w:rPr>
      <w:tab/>
      <w:t xml:space="preserve">+420 296 366 233  </w:t>
    </w:r>
    <w:r w:rsidRPr="006E4950">
      <w:rPr>
        <w:color w:val="808080"/>
        <w:sz w:val="18"/>
        <w:szCs w:val="18"/>
        <w:lang w:val="en-GB"/>
      </w:rPr>
      <w:br/>
    </w:r>
    <w:r>
      <w:rPr>
        <w:color w:val="808080"/>
        <w:sz w:val="18"/>
        <w:szCs w:val="18"/>
        <w:lang w:val="en-GB"/>
      </w:rPr>
      <w:t xml:space="preserve">                       </w:t>
    </w:r>
    <w:r w:rsidRPr="006E4950">
      <w:rPr>
        <w:color w:val="808080"/>
        <w:sz w:val="18"/>
        <w:szCs w:val="18"/>
        <w:lang w:val="en-GB"/>
      </w:rPr>
      <w:t>Mgr. Jiří Fröhlich</w:t>
    </w:r>
    <w:r w:rsidRPr="006E4950">
      <w:rPr>
        <w:i/>
        <w:color w:val="808080"/>
        <w:sz w:val="18"/>
        <w:szCs w:val="18"/>
        <w:lang w:val="en-GB"/>
      </w:rPr>
      <w:tab/>
      <w:t xml:space="preserve">                                                            </w:t>
    </w:r>
    <w:r w:rsidRPr="006E4950">
      <w:rPr>
        <w:b/>
        <w:i/>
        <w:color w:val="808080"/>
        <w:sz w:val="18"/>
        <w:szCs w:val="18"/>
        <w:lang w:val="en-GB"/>
      </w:rPr>
      <w:t>Mobile:</w:t>
    </w:r>
    <w:r w:rsidRPr="006E4950">
      <w:rPr>
        <w:i/>
        <w:color w:val="808080"/>
        <w:sz w:val="18"/>
        <w:szCs w:val="18"/>
        <w:lang w:val="en-GB"/>
      </w:rPr>
      <w:t xml:space="preserve"> </w:t>
    </w:r>
    <w:r w:rsidRPr="006E4950">
      <w:rPr>
        <w:i/>
        <w:color w:val="808080"/>
        <w:sz w:val="18"/>
        <w:szCs w:val="18"/>
        <w:lang w:val="en-GB"/>
      </w:rPr>
      <w:tab/>
      <w:t>+420 602 105 376</w:t>
    </w:r>
    <w:r w:rsidRPr="006E4950">
      <w:rPr>
        <w:i/>
        <w:color w:val="808080"/>
        <w:sz w:val="18"/>
        <w:szCs w:val="18"/>
        <w:lang w:val="en-GB"/>
      </w:rPr>
      <w:br/>
    </w:r>
    <w:r w:rsidRPr="006E4950">
      <w:rPr>
        <w:i/>
        <w:color w:val="808080"/>
        <w:sz w:val="18"/>
        <w:szCs w:val="18"/>
        <w:lang w:val="en-GB"/>
      </w:rPr>
      <w:tab/>
      <w:t xml:space="preserve">                                                            </w:t>
    </w:r>
    <w:r w:rsidRPr="006E4950">
      <w:rPr>
        <w:b/>
        <w:i/>
        <w:color w:val="808080"/>
        <w:sz w:val="18"/>
        <w:szCs w:val="18"/>
        <w:lang w:val="en-GB"/>
      </w:rPr>
      <w:t>E-mail:</w:t>
    </w:r>
    <w:r w:rsidRPr="006E4950">
      <w:rPr>
        <w:i/>
        <w:color w:val="808080"/>
        <w:sz w:val="18"/>
        <w:szCs w:val="18"/>
        <w:lang w:val="en-GB"/>
      </w:rPr>
      <w:tab/>
      <w:t>mluvci@coi.cz</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308404" w14:textId="77777777" w:rsidR="003B0173" w:rsidRDefault="003B0173" w:rsidP="00185D99">
      <w:r>
        <w:separator/>
      </w:r>
    </w:p>
  </w:footnote>
  <w:footnote w:type="continuationSeparator" w:id="0">
    <w:p w14:paraId="669BBC45" w14:textId="77777777" w:rsidR="003B0173" w:rsidRDefault="003B0173" w:rsidP="00185D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05A4E"/>
    <w:multiLevelType w:val="hybridMultilevel"/>
    <w:tmpl w:val="56546E02"/>
    <w:lvl w:ilvl="0" w:tplc="47063CE0">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B30630"/>
    <w:multiLevelType w:val="multilevel"/>
    <w:tmpl w:val="9E56D7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62C4E4C"/>
    <w:multiLevelType w:val="hybridMultilevel"/>
    <w:tmpl w:val="034A8CE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85A69C9"/>
    <w:multiLevelType w:val="hybridMultilevel"/>
    <w:tmpl w:val="8C6C6C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19E401B7"/>
    <w:multiLevelType w:val="hybridMultilevel"/>
    <w:tmpl w:val="E21E18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A0E3739"/>
    <w:multiLevelType w:val="hybridMultilevel"/>
    <w:tmpl w:val="638C72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AED3E89"/>
    <w:multiLevelType w:val="hybridMultilevel"/>
    <w:tmpl w:val="A80E8D3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26A6CA0"/>
    <w:multiLevelType w:val="hybridMultilevel"/>
    <w:tmpl w:val="2B166E5C"/>
    <w:lvl w:ilvl="0" w:tplc="BFDCDC12">
      <w:numFmt w:val="bullet"/>
      <w:lvlText w:val="-"/>
      <w:lvlJc w:val="left"/>
      <w:pPr>
        <w:ind w:left="420" w:hanging="360"/>
      </w:pPr>
      <w:rPr>
        <w:rFonts w:ascii="Times New Roman" w:eastAsia="Times New Roman" w:hAnsi="Times New Roman" w:cs="Times New Roman" w:hint="default"/>
        <w:b w:val="0"/>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8" w15:restartNumberingAfterBreak="0">
    <w:nsid w:val="22931A01"/>
    <w:multiLevelType w:val="hybridMultilevel"/>
    <w:tmpl w:val="B4BE8C5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29304DAB"/>
    <w:multiLevelType w:val="hybridMultilevel"/>
    <w:tmpl w:val="ACAA950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1DE56DF"/>
    <w:multiLevelType w:val="hybridMultilevel"/>
    <w:tmpl w:val="CB10E20C"/>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34A01105"/>
    <w:multiLevelType w:val="hybridMultilevel"/>
    <w:tmpl w:val="5296B4C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B4E5CF9"/>
    <w:multiLevelType w:val="hybridMultilevel"/>
    <w:tmpl w:val="4568048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1B8649E"/>
    <w:multiLevelType w:val="hybridMultilevel"/>
    <w:tmpl w:val="9E56D7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37E77F1"/>
    <w:multiLevelType w:val="hybridMultilevel"/>
    <w:tmpl w:val="59AED6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4703B91"/>
    <w:multiLevelType w:val="hybridMultilevel"/>
    <w:tmpl w:val="F6AE0D16"/>
    <w:lvl w:ilvl="0" w:tplc="0405000D">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45010092"/>
    <w:multiLevelType w:val="hybridMultilevel"/>
    <w:tmpl w:val="AD644B26"/>
    <w:lvl w:ilvl="0" w:tplc="E45EA7D8">
      <w:numFmt w:val="bullet"/>
      <w:lvlText w:val=""/>
      <w:lvlJc w:val="left"/>
      <w:pPr>
        <w:ind w:left="720" w:hanging="360"/>
      </w:pPr>
      <w:rPr>
        <w:rFonts w:ascii="Symbol" w:eastAsia="Times New Roman" w:hAnsi="Symbol"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F02459C"/>
    <w:multiLevelType w:val="hybridMultilevel"/>
    <w:tmpl w:val="BF26C20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F064F24"/>
    <w:multiLevelType w:val="hybridMultilevel"/>
    <w:tmpl w:val="DD78E5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F955340"/>
    <w:multiLevelType w:val="hybridMultilevel"/>
    <w:tmpl w:val="8934261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15:restartNumberingAfterBreak="0">
    <w:nsid w:val="53FE6E50"/>
    <w:multiLevelType w:val="hybridMultilevel"/>
    <w:tmpl w:val="E80E1082"/>
    <w:lvl w:ilvl="0" w:tplc="6E0E86FC">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6874E79"/>
    <w:multiLevelType w:val="hybridMultilevel"/>
    <w:tmpl w:val="75CE04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A2A4B21"/>
    <w:multiLevelType w:val="hybridMultilevel"/>
    <w:tmpl w:val="EFC4CD4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AD57626"/>
    <w:multiLevelType w:val="hybridMultilevel"/>
    <w:tmpl w:val="B1E412AC"/>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DC21CED"/>
    <w:multiLevelType w:val="hybridMultilevel"/>
    <w:tmpl w:val="E312DA8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E680C7F"/>
    <w:multiLevelType w:val="hybridMultilevel"/>
    <w:tmpl w:val="4572AC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04331A1"/>
    <w:multiLevelType w:val="hybridMultilevel"/>
    <w:tmpl w:val="40C406A4"/>
    <w:lvl w:ilvl="0" w:tplc="E45EA7D8">
      <w:numFmt w:val="bullet"/>
      <w:lvlText w:val=""/>
      <w:lvlJc w:val="left"/>
      <w:pPr>
        <w:ind w:left="720" w:hanging="360"/>
      </w:pPr>
      <w:rPr>
        <w:rFonts w:ascii="Symbol" w:eastAsia="Times New Roman" w:hAnsi="Symbol"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3994148"/>
    <w:multiLevelType w:val="hybridMultilevel"/>
    <w:tmpl w:val="585C267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47104F9"/>
    <w:multiLevelType w:val="hybridMultilevel"/>
    <w:tmpl w:val="C9F4476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5AB2A02"/>
    <w:multiLevelType w:val="hybridMultilevel"/>
    <w:tmpl w:val="95765C3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A8B345F"/>
    <w:multiLevelType w:val="hybridMultilevel"/>
    <w:tmpl w:val="C9869EF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C442AE2"/>
    <w:multiLevelType w:val="hybridMultilevel"/>
    <w:tmpl w:val="A5AC5AA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E4B09A8"/>
    <w:multiLevelType w:val="hybridMultilevel"/>
    <w:tmpl w:val="EC7E3C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0AB2984"/>
    <w:multiLevelType w:val="hybridMultilevel"/>
    <w:tmpl w:val="EF8EB6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4" w15:restartNumberingAfterBreak="0">
    <w:nsid w:val="714956DD"/>
    <w:multiLevelType w:val="hybridMultilevel"/>
    <w:tmpl w:val="FF88CA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1727321"/>
    <w:multiLevelType w:val="hybridMultilevel"/>
    <w:tmpl w:val="10AA8FC0"/>
    <w:lvl w:ilvl="0" w:tplc="8FCE5D5C">
      <w:numFmt w:val="bullet"/>
      <w:lvlText w:val="-"/>
      <w:lvlJc w:val="left"/>
      <w:pPr>
        <w:ind w:left="720" w:hanging="360"/>
      </w:pPr>
      <w:rPr>
        <w:rFonts w:ascii="Arial" w:eastAsia="Calibri" w:hAnsi="Arial" w:cs="Arial"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2BE45A3"/>
    <w:multiLevelType w:val="hybridMultilevel"/>
    <w:tmpl w:val="972E5E82"/>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3270158"/>
    <w:multiLevelType w:val="hybridMultilevel"/>
    <w:tmpl w:val="57AE28D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9"/>
  </w:num>
  <w:num w:numId="2">
    <w:abstractNumId w:val="17"/>
  </w:num>
  <w:num w:numId="3">
    <w:abstractNumId w:val="11"/>
  </w:num>
  <w:num w:numId="4">
    <w:abstractNumId w:val="28"/>
  </w:num>
  <w:num w:numId="5">
    <w:abstractNumId w:val="31"/>
  </w:num>
  <w:num w:numId="6">
    <w:abstractNumId w:val="3"/>
  </w:num>
  <w:num w:numId="7">
    <w:abstractNumId w:val="10"/>
  </w:num>
  <w:num w:numId="8">
    <w:abstractNumId w:val="9"/>
  </w:num>
  <w:num w:numId="9">
    <w:abstractNumId w:val="30"/>
  </w:num>
  <w:num w:numId="10">
    <w:abstractNumId w:val="2"/>
  </w:num>
  <w:num w:numId="11">
    <w:abstractNumId w:val="20"/>
  </w:num>
  <w:num w:numId="12">
    <w:abstractNumId w:val="7"/>
  </w:num>
  <w:num w:numId="13">
    <w:abstractNumId w:val="25"/>
  </w:num>
  <w:num w:numId="14">
    <w:abstractNumId w:val="14"/>
  </w:num>
  <w:num w:numId="15">
    <w:abstractNumId w:val="23"/>
  </w:num>
  <w:num w:numId="16">
    <w:abstractNumId w:val="15"/>
  </w:num>
  <w:num w:numId="17">
    <w:abstractNumId w:val="15"/>
  </w:num>
  <w:num w:numId="18">
    <w:abstractNumId w:val="5"/>
  </w:num>
  <w:num w:numId="19">
    <w:abstractNumId w:val="36"/>
  </w:num>
  <w:num w:numId="20">
    <w:abstractNumId w:val="24"/>
  </w:num>
  <w:num w:numId="21">
    <w:abstractNumId w:val="19"/>
  </w:num>
  <w:num w:numId="22">
    <w:abstractNumId w:val="27"/>
  </w:num>
  <w:num w:numId="23">
    <w:abstractNumId w:val="18"/>
  </w:num>
  <w:num w:numId="24">
    <w:abstractNumId w:val="13"/>
  </w:num>
  <w:num w:numId="25">
    <w:abstractNumId w:val="1"/>
  </w:num>
  <w:num w:numId="26">
    <w:abstractNumId w:val="8"/>
  </w:num>
  <w:num w:numId="27">
    <w:abstractNumId w:val="4"/>
  </w:num>
  <w:num w:numId="28">
    <w:abstractNumId w:val="32"/>
  </w:num>
  <w:num w:numId="29">
    <w:abstractNumId w:val="22"/>
  </w:num>
  <w:num w:numId="30">
    <w:abstractNumId w:val="12"/>
  </w:num>
  <w:num w:numId="31">
    <w:abstractNumId w:val="34"/>
  </w:num>
  <w:num w:numId="32">
    <w:abstractNumId w:val="16"/>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35"/>
  </w:num>
  <w:num w:numId="36">
    <w:abstractNumId w:val="33"/>
  </w:num>
  <w:num w:numId="37">
    <w:abstractNumId w:val="6"/>
  </w:num>
  <w:num w:numId="38">
    <w:abstractNumId w:val="0"/>
  </w:num>
  <w:num w:numId="39">
    <w:abstractNumId w:val="37"/>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19"/>
  <w:drawingGridVerticalSpacing w:val="119"/>
  <w:displayHorizontalDrawingGridEvery w:val="0"/>
  <w:displayVerticalDrawingGridEvery w:val="3"/>
  <w:doNotUseMarginsForDrawingGridOrigin/>
  <w:drawingGridVerticalOrigin w:val="1985"/>
  <w:doNotShadeFormData/>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08A"/>
    <w:rsid w:val="0000308A"/>
    <w:rsid w:val="0000384A"/>
    <w:rsid w:val="00004B17"/>
    <w:rsid w:val="00004CEF"/>
    <w:rsid w:val="00013A78"/>
    <w:rsid w:val="00017E33"/>
    <w:rsid w:val="00022166"/>
    <w:rsid w:val="000262D6"/>
    <w:rsid w:val="0002632F"/>
    <w:rsid w:val="00030E4E"/>
    <w:rsid w:val="00041212"/>
    <w:rsid w:val="00042816"/>
    <w:rsid w:val="00044892"/>
    <w:rsid w:val="00046A6B"/>
    <w:rsid w:val="00047CCA"/>
    <w:rsid w:val="00057C66"/>
    <w:rsid w:val="000601B9"/>
    <w:rsid w:val="00060D18"/>
    <w:rsid w:val="00063861"/>
    <w:rsid w:val="00073323"/>
    <w:rsid w:val="00090E58"/>
    <w:rsid w:val="000940BC"/>
    <w:rsid w:val="000A16E0"/>
    <w:rsid w:val="000B07D7"/>
    <w:rsid w:val="000B21A0"/>
    <w:rsid w:val="000B5C40"/>
    <w:rsid w:val="000B603C"/>
    <w:rsid w:val="000B6A90"/>
    <w:rsid w:val="000C63E8"/>
    <w:rsid w:val="000C6921"/>
    <w:rsid w:val="000C6A8B"/>
    <w:rsid w:val="000C706B"/>
    <w:rsid w:val="000D06D3"/>
    <w:rsid w:val="000D4265"/>
    <w:rsid w:val="000D7B47"/>
    <w:rsid w:val="000E12C9"/>
    <w:rsid w:val="000E3E07"/>
    <w:rsid w:val="000E41C7"/>
    <w:rsid w:val="000F16D1"/>
    <w:rsid w:val="000F28A8"/>
    <w:rsid w:val="000F2C0C"/>
    <w:rsid w:val="000F3BE8"/>
    <w:rsid w:val="000F52A6"/>
    <w:rsid w:val="00100B4B"/>
    <w:rsid w:val="0010412D"/>
    <w:rsid w:val="001053AB"/>
    <w:rsid w:val="001140DC"/>
    <w:rsid w:val="0012106E"/>
    <w:rsid w:val="001224BB"/>
    <w:rsid w:val="001242CC"/>
    <w:rsid w:val="001271AA"/>
    <w:rsid w:val="00127737"/>
    <w:rsid w:val="0013173D"/>
    <w:rsid w:val="00135A96"/>
    <w:rsid w:val="00136ECC"/>
    <w:rsid w:val="00137876"/>
    <w:rsid w:val="00144E53"/>
    <w:rsid w:val="00146CDB"/>
    <w:rsid w:val="0015090F"/>
    <w:rsid w:val="00153DBC"/>
    <w:rsid w:val="00160AE3"/>
    <w:rsid w:val="00162498"/>
    <w:rsid w:val="00165268"/>
    <w:rsid w:val="00167217"/>
    <w:rsid w:val="00167615"/>
    <w:rsid w:val="001676F1"/>
    <w:rsid w:val="0017592B"/>
    <w:rsid w:val="00175E7B"/>
    <w:rsid w:val="00181BEA"/>
    <w:rsid w:val="0018225C"/>
    <w:rsid w:val="001824BB"/>
    <w:rsid w:val="001824BC"/>
    <w:rsid w:val="00185919"/>
    <w:rsid w:val="00185D99"/>
    <w:rsid w:val="00197482"/>
    <w:rsid w:val="001A118F"/>
    <w:rsid w:val="001A39B1"/>
    <w:rsid w:val="001A5633"/>
    <w:rsid w:val="001A7E65"/>
    <w:rsid w:val="001B09D6"/>
    <w:rsid w:val="001B12FA"/>
    <w:rsid w:val="001B5F7D"/>
    <w:rsid w:val="001B7A7B"/>
    <w:rsid w:val="001C2FDA"/>
    <w:rsid w:val="001D1199"/>
    <w:rsid w:val="001D267F"/>
    <w:rsid w:val="001D2A21"/>
    <w:rsid w:val="001D414B"/>
    <w:rsid w:val="001E059D"/>
    <w:rsid w:val="001E228C"/>
    <w:rsid w:val="001E3459"/>
    <w:rsid w:val="001E43F2"/>
    <w:rsid w:val="001E563D"/>
    <w:rsid w:val="001F2255"/>
    <w:rsid w:val="001F28AD"/>
    <w:rsid w:val="001F59E2"/>
    <w:rsid w:val="001F6608"/>
    <w:rsid w:val="00204135"/>
    <w:rsid w:val="00205FD0"/>
    <w:rsid w:val="00206FBC"/>
    <w:rsid w:val="00210F85"/>
    <w:rsid w:val="00212094"/>
    <w:rsid w:val="00216362"/>
    <w:rsid w:val="00221C3C"/>
    <w:rsid w:val="00223387"/>
    <w:rsid w:val="00227461"/>
    <w:rsid w:val="0024082F"/>
    <w:rsid w:val="002434A7"/>
    <w:rsid w:val="00244A3B"/>
    <w:rsid w:val="00246218"/>
    <w:rsid w:val="002516E7"/>
    <w:rsid w:val="00256358"/>
    <w:rsid w:val="00261259"/>
    <w:rsid w:val="00275730"/>
    <w:rsid w:val="00277452"/>
    <w:rsid w:val="00277C2B"/>
    <w:rsid w:val="00277DEC"/>
    <w:rsid w:val="00293D34"/>
    <w:rsid w:val="00294CF5"/>
    <w:rsid w:val="00295D58"/>
    <w:rsid w:val="002A21C3"/>
    <w:rsid w:val="002A4DAE"/>
    <w:rsid w:val="002C2A53"/>
    <w:rsid w:val="002C466F"/>
    <w:rsid w:val="002D029E"/>
    <w:rsid w:val="002D1BB4"/>
    <w:rsid w:val="002D2CC1"/>
    <w:rsid w:val="002D7F03"/>
    <w:rsid w:val="002D7FF7"/>
    <w:rsid w:val="002E6676"/>
    <w:rsid w:val="002F2629"/>
    <w:rsid w:val="002F75FB"/>
    <w:rsid w:val="00302618"/>
    <w:rsid w:val="00307823"/>
    <w:rsid w:val="00315E92"/>
    <w:rsid w:val="0031699D"/>
    <w:rsid w:val="00324454"/>
    <w:rsid w:val="00325286"/>
    <w:rsid w:val="00337EC4"/>
    <w:rsid w:val="00340236"/>
    <w:rsid w:val="00343E6B"/>
    <w:rsid w:val="00351CBE"/>
    <w:rsid w:val="00351CCB"/>
    <w:rsid w:val="00362468"/>
    <w:rsid w:val="00362969"/>
    <w:rsid w:val="00365384"/>
    <w:rsid w:val="0036680B"/>
    <w:rsid w:val="003711F3"/>
    <w:rsid w:val="0037275B"/>
    <w:rsid w:val="0037681A"/>
    <w:rsid w:val="00380156"/>
    <w:rsid w:val="00380FEC"/>
    <w:rsid w:val="0038428B"/>
    <w:rsid w:val="003849B0"/>
    <w:rsid w:val="00394AF4"/>
    <w:rsid w:val="00395172"/>
    <w:rsid w:val="0039799B"/>
    <w:rsid w:val="003A0B28"/>
    <w:rsid w:val="003A0EED"/>
    <w:rsid w:val="003A5569"/>
    <w:rsid w:val="003A62C1"/>
    <w:rsid w:val="003A65B6"/>
    <w:rsid w:val="003A6A82"/>
    <w:rsid w:val="003B0173"/>
    <w:rsid w:val="003B70AE"/>
    <w:rsid w:val="003C5A15"/>
    <w:rsid w:val="003D112A"/>
    <w:rsid w:val="003D11C2"/>
    <w:rsid w:val="003E42B4"/>
    <w:rsid w:val="003E5D42"/>
    <w:rsid w:val="003E7340"/>
    <w:rsid w:val="003F1772"/>
    <w:rsid w:val="00402C0D"/>
    <w:rsid w:val="00405F7B"/>
    <w:rsid w:val="00406EF9"/>
    <w:rsid w:val="004142A3"/>
    <w:rsid w:val="0041577F"/>
    <w:rsid w:val="00420085"/>
    <w:rsid w:val="00420338"/>
    <w:rsid w:val="004241E6"/>
    <w:rsid w:val="00425B5C"/>
    <w:rsid w:val="00425E2A"/>
    <w:rsid w:val="004307D5"/>
    <w:rsid w:val="0043112A"/>
    <w:rsid w:val="00442AF8"/>
    <w:rsid w:val="0044362B"/>
    <w:rsid w:val="00444E25"/>
    <w:rsid w:val="00445103"/>
    <w:rsid w:val="004471FF"/>
    <w:rsid w:val="00453410"/>
    <w:rsid w:val="00454184"/>
    <w:rsid w:val="00465192"/>
    <w:rsid w:val="0046567B"/>
    <w:rsid w:val="00470B38"/>
    <w:rsid w:val="004723EA"/>
    <w:rsid w:val="00474959"/>
    <w:rsid w:val="00484646"/>
    <w:rsid w:val="00486448"/>
    <w:rsid w:val="004868C8"/>
    <w:rsid w:val="00487552"/>
    <w:rsid w:val="00490CDD"/>
    <w:rsid w:val="00491FDF"/>
    <w:rsid w:val="0049570F"/>
    <w:rsid w:val="004969C5"/>
    <w:rsid w:val="00496B0F"/>
    <w:rsid w:val="004A27F4"/>
    <w:rsid w:val="004A6CB6"/>
    <w:rsid w:val="004B3257"/>
    <w:rsid w:val="004B6AF5"/>
    <w:rsid w:val="004B7257"/>
    <w:rsid w:val="004C0728"/>
    <w:rsid w:val="004D2C95"/>
    <w:rsid w:val="004D305D"/>
    <w:rsid w:val="004D49B1"/>
    <w:rsid w:val="004D5F51"/>
    <w:rsid w:val="004E0267"/>
    <w:rsid w:val="004E047A"/>
    <w:rsid w:val="004E1903"/>
    <w:rsid w:val="004E6913"/>
    <w:rsid w:val="004F1F51"/>
    <w:rsid w:val="004F2F98"/>
    <w:rsid w:val="004F338F"/>
    <w:rsid w:val="004F6CB3"/>
    <w:rsid w:val="00500DE9"/>
    <w:rsid w:val="00506BED"/>
    <w:rsid w:val="00515929"/>
    <w:rsid w:val="00523B5D"/>
    <w:rsid w:val="00527275"/>
    <w:rsid w:val="00530640"/>
    <w:rsid w:val="00530ADD"/>
    <w:rsid w:val="00530F81"/>
    <w:rsid w:val="005321D5"/>
    <w:rsid w:val="00536212"/>
    <w:rsid w:val="00537466"/>
    <w:rsid w:val="00537AF9"/>
    <w:rsid w:val="00540AE1"/>
    <w:rsid w:val="00545F6A"/>
    <w:rsid w:val="005476A6"/>
    <w:rsid w:val="005517AE"/>
    <w:rsid w:val="0055231A"/>
    <w:rsid w:val="00556CCE"/>
    <w:rsid w:val="0055744D"/>
    <w:rsid w:val="00561DF8"/>
    <w:rsid w:val="00577E46"/>
    <w:rsid w:val="005858BD"/>
    <w:rsid w:val="00592F6D"/>
    <w:rsid w:val="00594135"/>
    <w:rsid w:val="00594DBD"/>
    <w:rsid w:val="0059560F"/>
    <w:rsid w:val="005A1C34"/>
    <w:rsid w:val="005A44EE"/>
    <w:rsid w:val="005A7C75"/>
    <w:rsid w:val="005A7E24"/>
    <w:rsid w:val="005B09A2"/>
    <w:rsid w:val="005C4E4A"/>
    <w:rsid w:val="005D2077"/>
    <w:rsid w:val="005D3CE9"/>
    <w:rsid w:val="005D3D4C"/>
    <w:rsid w:val="005E2011"/>
    <w:rsid w:val="005E476D"/>
    <w:rsid w:val="005E47C3"/>
    <w:rsid w:val="005E6600"/>
    <w:rsid w:val="005E734E"/>
    <w:rsid w:val="005F2259"/>
    <w:rsid w:val="005F2D15"/>
    <w:rsid w:val="005F4EE6"/>
    <w:rsid w:val="005F5656"/>
    <w:rsid w:val="00600984"/>
    <w:rsid w:val="00600EDE"/>
    <w:rsid w:val="00602C53"/>
    <w:rsid w:val="006070DF"/>
    <w:rsid w:val="00622D3B"/>
    <w:rsid w:val="0062430A"/>
    <w:rsid w:val="00624694"/>
    <w:rsid w:val="00636D2B"/>
    <w:rsid w:val="00640081"/>
    <w:rsid w:val="00641289"/>
    <w:rsid w:val="00643474"/>
    <w:rsid w:val="00644E3B"/>
    <w:rsid w:val="006502BB"/>
    <w:rsid w:val="00663EB5"/>
    <w:rsid w:val="00676F1E"/>
    <w:rsid w:val="0068090B"/>
    <w:rsid w:val="006833D8"/>
    <w:rsid w:val="006841CB"/>
    <w:rsid w:val="00685A7F"/>
    <w:rsid w:val="00687D59"/>
    <w:rsid w:val="00691EDB"/>
    <w:rsid w:val="006A32C9"/>
    <w:rsid w:val="006A4513"/>
    <w:rsid w:val="006A7DFE"/>
    <w:rsid w:val="006B425B"/>
    <w:rsid w:val="006C6282"/>
    <w:rsid w:val="006D1DAF"/>
    <w:rsid w:val="006D36CD"/>
    <w:rsid w:val="006D4638"/>
    <w:rsid w:val="006D5767"/>
    <w:rsid w:val="006D755B"/>
    <w:rsid w:val="006D7957"/>
    <w:rsid w:val="006E0909"/>
    <w:rsid w:val="006E5AE2"/>
    <w:rsid w:val="006E5F42"/>
    <w:rsid w:val="006F30DF"/>
    <w:rsid w:val="006F31D0"/>
    <w:rsid w:val="006F3496"/>
    <w:rsid w:val="006F366E"/>
    <w:rsid w:val="00706C8F"/>
    <w:rsid w:val="007079EA"/>
    <w:rsid w:val="00715CAB"/>
    <w:rsid w:val="00721170"/>
    <w:rsid w:val="00721770"/>
    <w:rsid w:val="00723C2D"/>
    <w:rsid w:val="0072480B"/>
    <w:rsid w:val="00726157"/>
    <w:rsid w:val="00732A0D"/>
    <w:rsid w:val="007331D2"/>
    <w:rsid w:val="00740161"/>
    <w:rsid w:val="00741FC4"/>
    <w:rsid w:val="00750671"/>
    <w:rsid w:val="0076153E"/>
    <w:rsid w:val="007707EB"/>
    <w:rsid w:val="007778F1"/>
    <w:rsid w:val="007817AA"/>
    <w:rsid w:val="007A0E66"/>
    <w:rsid w:val="007A79BE"/>
    <w:rsid w:val="007B3F38"/>
    <w:rsid w:val="007C1891"/>
    <w:rsid w:val="007C22F5"/>
    <w:rsid w:val="007D13AB"/>
    <w:rsid w:val="007D1874"/>
    <w:rsid w:val="007D59C4"/>
    <w:rsid w:val="007E0B7D"/>
    <w:rsid w:val="007F0252"/>
    <w:rsid w:val="007F248D"/>
    <w:rsid w:val="007F479B"/>
    <w:rsid w:val="007F568C"/>
    <w:rsid w:val="007F62FC"/>
    <w:rsid w:val="007F6453"/>
    <w:rsid w:val="0080065C"/>
    <w:rsid w:val="008015A6"/>
    <w:rsid w:val="00801F8D"/>
    <w:rsid w:val="008049ED"/>
    <w:rsid w:val="008072AB"/>
    <w:rsid w:val="00811F54"/>
    <w:rsid w:val="00813930"/>
    <w:rsid w:val="00816630"/>
    <w:rsid w:val="00830D1B"/>
    <w:rsid w:val="008440B8"/>
    <w:rsid w:val="008604D6"/>
    <w:rsid w:val="00861EB7"/>
    <w:rsid w:val="00863301"/>
    <w:rsid w:val="0086560F"/>
    <w:rsid w:val="00865B7B"/>
    <w:rsid w:val="00867FD2"/>
    <w:rsid w:val="008744A8"/>
    <w:rsid w:val="008752C6"/>
    <w:rsid w:val="00877FEA"/>
    <w:rsid w:val="008823B4"/>
    <w:rsid w:val="0088321E"/>
    <w:rsid w:val="00895F4C"/>
    <w:rsid w:val="008A2994"/>
    <w:rsid w:val="008A5E2B"/>
    <w:rsid w:val="008B5D1E"/>
    <w:rsid w:val="008C7414"/>
    <w:rsid w:val="008C7E0C"/>
    <w:rsid w:val="008D09CD"/>
    <w:rsid w:val="008E5905"/>
    <w:rsid w:val="008F3354"/>
    <w:rsid w:val="008F4B9F"/>
    <w:rsid w:val="008F60EE"/>
    <w:rsid w:val="008F7988"/>
    <w:rsid w:val="00901553"/>
    <w:rsid w:val="00903ED7"/>
    <w:rsid w:val="00904EDB"/>
    <w:rsid w:val="009072AF"/>
    <w:rsid w:val="00914E47"/>
    <w:rsid w:val="00915AFA"/>
    <w:rsid w:val="00920A06"/>
    <w:rsid w:val="009267F9"/>
    <w:rsid w:val="00932782"/>
    <w:rsid w:val="0093311E"/>
    <w:rsid w:val="009442A7"/>
    <w:rsid w:val="00945127"/>
    <w:rsid w:val="00954744"/>
    <w:rsid w:val="00957646"/>
    <w:rsid w:val="00957D14"/>
    <w:rsid w:val="00961037"/>
    <w:rsid w:val="00971E23"/>
    <w:rsid w:val="00971EDD"/>
    <w:rsid w:val="00973F3C"/>
    <w:rsid w:val="00975876"/>
    <w:rsid w:val="00976B9C"/>
    <w:rsid w:val="00976E86"/>
    <w:rsid w:val="009817DB"/>
    <w:rsid w:val="00986725"/>
    <w:rsid w:val="009874A7"/>
    <w:rsid w:val="009874D6"/>
    <w:rsid w:val="0099145D"/>
    <w:rsid w:val="00991D40"/>
    <w:rsid w:val="009A0587"/>
    <w:rsid w:val="009A453C"/>
    <w:rsid w:val="009B7F95"/>
    <w:rsid w:val="009C5D60"/>
    <w:rsid w:val="009C6FB8"/>
    <w:rsid w:val="009D034B"/>
    <w:rsid w:val="009D2CAA"/>
    <w:rsid w:val="009D58CB"/>
    <w:rsid w:val="009E1306"/>
    <w:rsid w:val="009E1B34"/>
    <w:rsid w:val="009E50DE"/>
    <w:rsid w:val="009E6D50"/>
    <w:rsid w:val="009F0AFD"/>
    <w:rsid w:val="009F0DE7"/>
    <w:rsid w:val="009F1BC3"/>
    <w:rsid w:val="009F5F3C"/>
    <w:rsid w:val="009F6DA3"/>
    <w:rsid w:val="00A0238D"/>
    <w:rsid w:val="00A035F5"/>
    <w:rsid w:val="00A06731"/>
    <w:rsid w:val="00A07415"/>
    <w:rsid w:val="00A13CC5"/>
    <w:rsid w:val="00A15829"/>
    <w:rsid w:val="00A16A5B"/>
    <w:rsid w:val="00A208FD"/>
    <w:rsid w:val="00A27E5A"/>
    <w:rsid w:val="00A30919"/>
    <w:rsid w:val="00A44F67"/>
    <w:rsid w:val="00A47238"/>
    <w:rsid w:val="00A502CE"/>
    <w:rsid w:val="00A53282"/>
    <w:rsid w:val="00A5391A"/>
    <w:rsid w:val="00A549AD"/>
    <w:rsid w:val="00A56399"/>
    <w:rsid w:val="00A565D6"/>
    <w:rsid w:val="00A61E58"/>
    <w:rsid w:val="00A6387D"/>
    <w:rsid w:val="00A65320"/>
    <w:rsid w:val="00A80D87"/>
    <w:rsid w:val="00A8244B"/>
    <w:rsid w:val="00A82BF6"/>
    <w:rsid w:val="00A8385B"/>
    <w:rsid w:val="00A904DB"/>
    <w:rsid w:val="00A90B65"/>
    <w:rsid w:val="00A92AD1"/>
    <w:rsid w:val="00A94FD3"/>
    <w:rsid w:val="00AA53E1"/>
    <w:rsid w:val="00AA70F3"/>
    <w:rsid w:val="00AA7C61"/>
    <w:rsid w:val="00AB059B"/>
    <w:rsid w:val="00AB2A24"/>
    <w:rsid w:val="00AB3651"/>
    <w:rsid w:val="00AB712F"/>
    <w:rsid w:val="00AB7968"/>
    <w:rsid w:val="00AC5225"/>
    <w:rsid w:val="00AC5932"/>
    <w:rsid w:val="00AC6C7C"/>
    <w:rsid w:val="00AD019C"/>
    <w:rsid w:val="00AD07A1"/>
    <w:rsid w:val="00AD0E0E"/>
    <w:rsid w:val="00AD1777"/>
    <w:rsid w:val="00AD4CF8"/>
    <w:rsid w:val="00AD5551"/>
    <w:rsid w:val="00AD745A"/>
    <w:rsid w:val="00AE5078"/>
    <w:rsid w:val="00AE7D98"/>
    <w:rsid w:val="00AF2C1B"/>
    <w:rsid w:val="00AF45E6"/>
    <w:rsid w:val="00AF62AF"/>
    <w:rsid w:val="00AF67AC"/>
    <w:rsid w:val="00B03878"/>
    <w:rsid w:val="00B07AF9"/>
    <w:rsid w:val="00B10360"/>
    <w:rsid w:val="00B14015"/>
    <w:rsid w:val="00B156DC"/>
    <w:rsid w:val="00B16AC2"/>
    <w:rsid w:val="00B17737"/>
    <w:rsid w:val="00B22980"/>
    <w:rsid w:val="00B235FE"/>
    <w:rsid w:val="00B33ECB"/>
    <w:rsid w:val="00B44811"/>
    <w:rsid w:val="00B45FCA"/>
    <w:rsid w:val="00B5732B"/>
    <w:rsid w:val="00B6437A"/>
    <w:rsid w:val="00B646D3"/>
    <w:rsid w:val="00B67456"/>
    <w:rsid w:val="00B7138D"/>
    <w:rsid w:val="00B73F9D"/>
    <w:rsid w:val="00B751D9"/>
    <w:rsid w:val="00B76299"/>
    <w:rsid w:val="00B767AA"/>
    <w:rsid w:val="00B81A04"/>
    <w:rsid w:val="00B832E9"/>
    <w:rsid w:val="00B84D0C"/>
    <w:rsid w:val="00B86329"/>
    <w:rsid w:val="00B871DC"/>
    <w:rsid w:val="00B90207"/>
    <w:rsid w:val="00B90E1E"/>
    <w:rsid w:val="00B92B1C"/>
    <w:rsid w:val="00B95F00"/>
    <w:rsid w:val="00BA5606"/>
    <w:rsid w:val="00BA5A80"/>
    <w:rsid w:val="00BB72FF"/>
    <w:rsid w:val="00BC52BB"/>
    <w:rsid w:val="00BC543E"/>
    <w:rsid w:val="00BC5961"/>
    <w:rsid w:val="00BC6C4D"/>
    <w:rsid w:val="00BC7086"/>
    <w:rsid w:val="00BD2D29"/>
    <w:rsid w:val="00BD5024"/>
    <w:rsid w:val="00BD5403"/>
    <w:rsid w:val="00BD5B5C"/>
    <w:rsid w:val="00BE7632"/>
    <w:rsid w:val="00BF10D6"/>
    <w:rsid w:val="00BF2904"/>
    <w:rsid w:val="00BF3384"/>
    <w:rsid w:val="00C0777A"/>
    <w:rsid w:val="00C11AA1"/>
    <w:rsid w:val="00C1245E"/>
    <w:rsid w:val="00C2604F"/>
    <w:rsid w:val="00C30BD5"/>
    <w:rsid w:val="00C343D2"/>
    <w:rsid w:val="00C42D4C"/>
    <w:rsid w:val="00C53EDB"/>
    <w:rsid w:val="00C54DF4"/>
    <w:rsid w:val="00C54FEF"/>
    <w:rsid w:val="00C57E36"/>
    <w:rsid w:val="00C6042A"/>
    <w:rsid w:val="00C61364"/>
    <w:rsid w:val="00C61D98"/>
    <w:rsid w:val="00C63A6B"/>
    <w:rsid w:val="00C66F99"/>
    <w:rsid w:val="00C771F7"/>
    <w:rsid w:val="00C80179"/>
    <w:rsid w:val="00C81C10"/>
    <w:rsid w:val="00C82977"/>
    <w:rsid w:val="00C83E33"/>
    <w:rsid w:val="00C86024"/>
    <w:rsid w:val="00C86556"/>
    <w:rsid w:val="00C87D1C"/>
    <w:rsid w:val="00C91293"/>
    <w:rsid w:val="00C9230E"/>
    <w:rsid w:val="00C96268"/>
    <w:rsid w:val="00CA02DD"/>
    <w:rsid w:val="00CA17D9"/>
    <w:rsid w:val="00CA3299"/>
    <w:rsid w:val="00CA7AC3"/>
    <w:rsid w:val="00CB700D"/>
    <w:rsid w:val="00CC376C"/>
    <w:rsid w:val="00CC7478"/>
    <w:rsid w:val="00CD575F"/>
    <w:rsid w:val="00CD675A"/>
    <w:rsid w:val="00CE0241"/>
    <w:rsid w:val="00CE4F67"/>
    <w:rsid w:val="00CE52E2"/>
    <w:rsid w:val="00CE5310"/>
    <w:rsid w:val="00CE6715"/>
    <w:rsid w:val="00CE75DA"/>
    <w:rsid w:val="00CF0B8A"/>
    <w:rsid w:val="00CF39F5"/>
    <w:rsid w:val="00CF6448"/>
    <w:rsid w:val="00CF73DF"/>
    <w:rsid w:val="00D016A4"/>
    <w:rsid w:val="00D02517"/>
    <w:rsid w:val="00D02F16"/>
    <w:rsid w:val="00D04AE8"/>
    <w:rsid w:val="00D068DA"/>
    <w:rsid w:val="00D10CF3"/>
    <w:rsid w:val="00D1125A"/>
    <w:rsid w:val="00D123EF"/>
    <w:rsid w:val="00D15FF6"/>
    <w:rsid w:val="00D22BA6"/>
    <w:rsid w:val="00D32AE9"/>
    <w:rsid w:val="00D34CF3"/>
    <w:rsid w:val="00D36978"/>
    <w:rsid w:val="00D7144E"/>
    <w:rsid w:val="00D7221A"/>
    <w:rsid w:val="00D73A91"/>
    <w:rsid w:val="00D74EB9"/>
    <w:rsid w:val="00D75CBD"/>
    <w:rsid w:val="00D75DD4"/>
    <w:rsid w:val="00D75E75"/>
    <w:rsid w:val="00D77104"/>
    <w:rsid w:val="00D80571"/>
    <w:rsid w:val="00D90B67"/>
    <w:rsid w:val="00D9208B"/>
    <w:rsid w:val="00D95F20"/>
    <w:rsid w:val="00DA1A95"/>
    <w:rsid w:val="00DA3444"/>
    <w:rsid w:val="00DA4340"/>
    <w:rsid w:val="00DA4F3E"/>
    <w:rsid w:val="00DB78F7"/>
    <w:rsid w:val="00DC5AEC"/>
    <w:rsid w:val="00DC60FD"/>
    <w:rsid w:val="00DD03B7"/>
    <w:rsid w:val="00DD0CBB"/>
    <w:rsid w:val="00DD11EA"/>
    <w:rsid w:val="00DD490D"/>
    <w:rsid w:val="00DE0392"/>
    <w:rsid w:val="00DE3EDD"/>
    <w:rsid w:val="00DE4890"/>
    <w:rsid w:val="00DF0024"/>
    <w:rsid w:val="00DF2C32"/>
    <w:rsid w:val="00DF434A"/>
    <w:rsid w:val="00DF5416"/>
    <w:rsid w:val="00DF54D2"/>
    <w:rsid w:val="00DF59B3"/>
    <w:rsid w:val="00E01168"/>
    <w:rsid w:val="00E02FB7"/>
    <w:rsid w:val="00E034CA"/>
    <w:rsid w:val="00E05382"/>
    <w:rsid w:val="00E07FB1"/>
    <w:rsid w:val="00E170B9"/>
    <w:rsid w:val="00E17C86"/>
    <w:rsid w:val="00E2083C"/>
    <w:rsid w:val="00E210E3"/>
    <w:rsid w:val="00E23BF7"/>
    <w:rsid w:val="00E35962"/>
    <w:rsid w:val="00E37756"/>
    <w:rsid w:val="00E37A58"/>
    <w:rsid w:val="00E41120"/>
    <w:rsid w:val="00E4453C"/>
    <w:rsid w:val="00E517CA"/>
    <w:rsid w:val="00E53978"/>
    <w:rsid w:val="00E556E0"/>
    <w:rsid w:val="00E55927"/>
    <w:rsid w:val="00E55C3D"/>
    <w:rsid w:val="00E57C2B"/>
    <w:rsid w:val="00E60E2D"/>
    <w:rsid w:val="00E61DAB"/>
    <w:rsid w:val="00E62E57"/>
    <w:rsid w:val="00E6559C"/>
    <w:rsid w:val="00E7057A"/>
    <w:rsid w:val="00E71EEB"/>
    <w:rsid w:val="00E745AA"/>
    <w:rsid w:val="00E74E03"/>
    <w:rsid w:val="00E7592A"/>
    <w:rsid w:val="00E75EAD"/>
    <w:rsid w:val="00E77937"/>
    <w:rsid w:val="00E77B39"/>
    <w:rsid w:val="00E846F8"/>
    <w:rsid w:val="00E87D1E"/>
    <w:rsid w:val="00E90782"/>
    <w:rsid w:val="00E9118A"/>
    <w:rsid w:val="00E9375A"/>
    <w:rsid w:val="00E93A11"/>
    <w:rsid w:val="00E9554F"/>
    <w:rsid w:val="00E96BF2"/>
    <w:rsid w:val="00EA215E"/>
    <w:rsid w:val="00EA3CF5"/>
    <w:rsid w:val="00EA60A8"/>
    <w:rsid w:val="00EA720B"/>
    <w:rsid w:val="00EB19F7"/>
    <w:rsid w:val="00EB1F81"/>
    <w:rsid w:val="00EB4406"/>
    <w:rsid w:val="00EB4D2B"/>
    <w:rsid w:val="00EB5D64"/>
    <w:rsid w:val="00EB5DF5"/>
    <w:rsid w:val="00EC159E"/>
    <w:rsid w:val="00EC63A5"/>
    <w:rsid w:val="00EC7952"/>
    <w:rsid w:val="00ED5753"/>
    <w:rsid w:val="00ED74B0"/>
    <w:rsid w:val="00ED7EA8"/>
    <w:rsid w:val="00EE2D9C"/>
    <w:rsid w:val="00EE4E96"/>
    <w:rsid w:val="00EF153D"/>
    <w:rsid w:val="00EF1BFC"/>
    <w:rsid w:val="00EF319E"/>
    <w:rsid w:val="00EF78ED"/>
    <w:rsid w:val="00F00E18"/>
    <w:rsid w:val="00F01AEB"/>
    <w:rsid w:val="00F05BB5"/>
    <w:rsid w:val="00F063B7"/>
    <w:rsid w:val="00F13D02"/>
    <w:rsid w:val="00F14BE7"/>
    <w:rsid w:val="00F16A14"/>
    <w:rsid w:val="00F17F6E"/>
    <w:rsid w:val="00F204CA"/>
    <w:rsid w:val="00F23432"/>
    <w:rsid w:val="00F2569D"/>
    <w:rsid w:val="00F27EA4"/>
    <w:rsid w:val="00F3674C"/>
    <w:rsid w:val="00F40692"/>
    <w:rsid w:val="00F423AA"/>
    <w:rsid w:val="00F42B2E"/>
    <w:rsid w:val="00F43DC8"/>
    <w:rsid w:val="00F448AC"/>
    <w:rsid w:val="00F55DEB"/>
    <w:rsid w:val="00F57EBA"/>
    <w:rsid w:val="00F65266"/>
    <w:rsid w:val="00F7373F"/>
    <w:rsid w:val="00F7546A"/>
    <w:rsid w:val="00F758D2"/>
    <w:rsid w:val="00F75E83"/>
    <w:rsid w:val="00F806B2"/>
    <w:rsid w:val="00F81FC8"/>
    <w:rsid w:val="00F874F8"/>
    <w:rsid w:val="00F918E9"/>
    <w:rsid w:val="00F920A2"/>
    <w:rsid w:val="00F92E91"/>
    <w:rsid w:val="00F96D83"/>
    <w:rsid w:val="00F979E9"/>
    <w:rsid w:val="00FA2374"/>
    <w:rsid w:val="00FA3809"/>
    <w:rsid w:val="00FA4D91"/>
    <w:rsid w:val="00FB099B"/>
    <w:rsid w:val="00FB0F2A"/>
    <w:rsid w:val="00FB2A52"/>
    <w:rsid w:val="00FB449B"/>
    <w:rsid w:val="00FD2F73"/>
    <w:rsid w:val="00FD44B6"/>
    <w:rsid w:val="00FF36EA"/>
    <w:rsid w:val="00FF3C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B29058C"/>
  <w15:chartTrackingRefBased/>
  <w15:docId w15:val="{6A7DCB2D-4D8C-4CC3-AFB1-E06255721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link w:val="Nadpis1Char"/>
    <w:uiPriority w:val="9"/>
    <w:qFormat/>
    <w:rsid w:val="00212094"/>
    <w:pPr>
      <w:keepNext/>
      <w:keepLines/>
      <w:spacing w:before="480" w:line="276" w:lineRule="auto"/>
      <w:outlineLvl w:val="0"/>
    </w:pPr>
    <w:rPr>
      <w:rFonts w:ascii="Calibri Light" w:hAnsi="Calibri Light"/>
      <w:b/>
      <w:bCs/>
      <w:color w:val="2E74B5"/>
      <w:sz w:val="28"/>
      <w:szCs w:val="28"/>
      <w:lang w:val="x-none" w:eastAsia="en-US"/>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rsid w:val="004E1903"/>
    <w:rPr>
      <w:rFonts w:ascii="Tahoma" w:hAnsi="Tahoma"/>
      <w:sz w:val="16"/>
      <w:szCs w:val="16"/>
      <w:lang w:val="x-none" w:eastAsia="x-none"/>
    </w:rPr>
  </w:style>
  <w:style w:type="character" w:customStyle="1" w:styleId="TextbublinyChar">
    <w:name w:val="Text bubliny Char"/>
    <w:link w:val="Textbubliny"/>
    <w:rsid w:val="004E1903"/>
    <w:rPr>
      <w:rFonts w:ascii="Tahoma" w:hAnsi="Tahoma" w:cs="Tahoma"/>
      <w:sz w:val="16"/>
      <w:szCs w:val="16"/>
    </w:rPr>
  </w:style>
  <w:style w:type="paragraph" w:styleId="Zpat">
    <w:name w:val="footer"/>
    <w:basedOn w:val="Normln"/>
    <w:link w:val="ZpatChar"/>
    <w:uiPriority w:val="99"/>
    <w:unhideWhenUsed/>
    <w:rsid w:val="00EC7952"/>
    <w:pPr>
      <w:tabs>
        <w:tab w:val="center" w:pos="4536"/>
        <w:tab w:val="right" w:pos="9072"/>
      </w:tabs>
      <w:spacing w:after="200" w:line="276" w:lineRule="auto"/>
    </w:pPr>
    <w:rPr>
      <w:rFonts w:ascii="Calibri" w:eastAsia="Calibri" w:hAnsi="Calibri"/>
      <w:sz w:val="22"/>
      <w:szCs w:val="22"/>
      <w:lang w:val="x-none" w:eastAsia="en-US"/>
    </w:rPr>
  </w:style>
  <w:style w:type="character" w:customStyle="1" w:styleId="ZpatChar">
    <w:name w:val="Zápatí Char"/>
    <w:link w:val="Zpat"/>
    <w:uiPriority w:val="99"/>
    <w:rsid w:val="00EC7952"/>
    <w:rPr>
      <w:rFonts w:ascii="Calibri" w:eastAsia="Calibri" w:hAnsi="Calibri"/>
      <w:sz w:val="22"/>
      <w:szCs w:val="22"/>
      <w:lang w:eastAsia="en-US"/>
    </w:rPr>
  </w:style>
  <w:style w:type="paragraph" w:styleId="Odstavecseseznamem">
    <w:name w:val="List Paragraph"/>
    <w:basedOn w:val="Normln"/>
    <w:uiPriority w:val="34"/>
    <w:qFormat/>
    <w:rsid w:val="00185D99"/>
    <w:pPr>
      <w:spacing w:after="200" w:line="276" w:lineRule="auto"/>
      <w:ind w:left="720"/>
      <w:contextualSpacing/>
    </w:pPr>
    <w:rPr>
      <w:rFonts w:ascii="Calibri" w:eastAsia="Calibri" w:hAnsi="Calibri"/>
      <w:sz w:val="22"/>
      <w:szCs w:val="22"/>
      <w:lang w:eastAsia="en-US"/>
    </w:rPr>
  </w:style>
  <w:style w:type="paragraph" w:styleId="Zhlav">
    <w:name w:val="header"/>
    <w:basedOn w:val="Normln"/>
    <w:link w:val="ZhlavChar"/>
    <w:rsid w:val="00185D99"/>
    <w:pPr>
      <w:tabs>
        <w:tab w:val="center" w:pos="4536"/>
        <w:tab w:val="right" w:pos="9072"/>
      </w:tabs>
    </w:pPr>
    <w:rPr>
      <w:lang w:val="x-none" w:eastAsia="x-none"/>
    </w:rPr>
  </w:style>
  <w:style w:type="character" w:customStyle="1" w:styleId="ZhlavChar">
    <w:name w:val="Záhlaví Char"/>
    <w:link w:val="Zhlav"/>
    <w:rsid w:val="00185D99"/>
    <w:rPr>
      <w:sz w:val="24"/>
      <w:szCs w:val="24"/>
    </w:rPr>
  </w:style>
  <w:style w:type="table" w:styleId="Mkatabulky">
    <w:name w:val="Table Grid"/>
    <w:basedOn w:val="Normlntabulka"/>
    <w:uiPriority w:val="59"/>
    <w:rsid w:val="0072177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A06731"/>
    <w:rPr>
      <w:color w:val="0000FF"/>
      <w:u w:val="single"/>
    </w:rPr>
  </w:style>
  <w:style w:type="paragraph" w:customStyle="1" w:styleId="Textbody">
    <w:name w:val="Text body"/>
    <w:basedOn w:val="Normln"/>
    <w:rsid w:val="007D59C4"/>
    <w:pPr>
      <w:tabs>
        <w:tab w:val="left" w:pos="709"/>
      </w:tabs>
      <w:suppressAutoHyphens/>
      <w:autoSpaceDN w:val="0"/>
      <w:spacing w:line="100" w:lineRule="atLeast"/>
    </w:pPr>
    <w:rPr>
      <w:b/>
      <w:color w:val="00000A"/>
      <w:kern w:val="3"/>
      <w:szCs w:val="20"/>
    </w:rPr>
  </w:style>
  <w:style w:type="character" w:styleId="Odkaznakoment">
    <w:name w:val="annotation reference"/>
    <w:rsid w:val="00E37756"/>
    <w:rPr>
      <w:sz w:val="16"/>
      <w:szCs w:val="16"/>
    </w:rPr>
  </w:style>
  <w:style w:type="paragraph" w:styleId="Textkomente">
    <w:name w:val="annotation text"/>
    <w:basedOn w:val="Normln"/>
    <w:link w:val="TextkomenteChar"/>
    <w:rsid w:val="00E37756"/>
    <w:rPr>
      <w:sz w:val="20"/>
      <w:szCs w:val="20"/>
    </w:rPr>
  </w:style>
  <w:style w:type="character" w:customStyle="1" w:styleId="TextkomenteChar">
    <w:name w:val="Text komentáře Char"/>
    <w:basedOn w:val="Standardnpsmoodstavce"/>
    <w:link w:val="Textkomente"/>
    <w:rsid w:val="00E37756"/>
  </w:style>
  <w:style w:type="paragraph" w:styleId="Pedmtkomente">
    <w:name w:val="annotation subject"/>
    <w:basedOn w:val="Textkomente"/>
    <w:next w:val="Textkomente"/>
    <w:link w:val="PedmtkomenteChar"/>
    <w:rsid w:val="00E37756"/>
    <w:rPr>
      <w:b/>
      <w:bCs/>
      <w:lang w:val="x-none" w:eastAsia="x-none"/>
    </w:rPr>
  </w:style>
  <w:style w:type="character" w:customStyle="1" w:styleId="PedmtkomenteChar">
    <w:name w:val="Předmět komentáře Char"/>
    <w:link w:val="Pedmtkomente"/>
    <w:rsid w:val="00E37756"/>
    <w:rPr>
      <w:b/>
      <w:bCs/>
    </w:rPr>
  </w:style>
  <w:style w:type="character" w:customStyle="1" w:styleId="Nadpis1Char">
    <w:name w:val="Nadpis 1 Char"/>
    <w:link w:val="Nadpis1"/>
    <w:uiPriority w:val="9"/>
    <w:rsid w:val="00212094"/>
    <w:rPr>
      <w:rFonts w:ascii="Calibri Light" w:hAnsi="Calibri Light"/>
      <w:b/>
      <w:bCs/>
      <w:color w:val="2E74B5"/>
      <w:sz w:val="28"/>
      <w:szCs w:val="28"/>
      <w:lang w:eastAsia="en-US"/>
    </w:rPr>
  </w:style>
  <w:style w:type="character" w:customStyle="1" w:styleId="h1a5">
    <w:name w:val="h1a5"/>
    <w:rsid w:val="00004B17"/>
    <w:rPr>
      <w:rFonts w:ascii="Arial" w:hAnsi="Arial" w:cs="Arial" w:hint="default"/>
      <w:i/>
      <w:iCs/>
      <w:vanish w:val="0"/>
      <w:webHidden w:val="0"/>
      <w:sz w:val="26"/>
      <w:szCs w:val="26"/>
      <w:specVanish w:val="0"/>
    </w:rPr>
  </w:style>
  <w:style w:type="paragraph" w:styleId="Bezmezer">
    <w:name w:val="No Spacing"/>
    <w:link w:val="BezmezerChar"/>
    <w:uiPriority w:val="1"/>
    <w:qFormat/>
    <w:rsid w:val="004F338F"/>
    <w:rPr>
      <w:sz w:val="24"/>
      <w:szCs w:val="24"/>
    </w:rPr>
  </w:style>
  <w:style w:type="character" w:customStyle="1" w:styleId="BezmezerChar">
    <w:name w:val="Bez mezer Char"/>
    <w:link w:val="Bezmezer"/>
    <w:uiPriority w:val="1"/>
    <w:locked/>
    <w:rsid w:val="004F338F"/>
    <w:rPr>
      <w:sz w:val="24"/>
      <w:szCs w:val="24"/>
      <w:lang w:bidi="ar-SA"/>
    </w:rPr>
  </w:style>
  <w:style w:type="paragraph" w:styleId="Normlnweb">
    <w:name w:val="Normal (Web)"/>
    <w:basedOn w:val="Normln"/>
    <w:uiPriority w:val="99"/>
    <w:unhideWhenUsed/>
    <w:rsid w:val="00BD5B5C"/>
    <w:pPr>
      <w:spacing w:before="192" w:after="192" w:line="360" w:lineRule="atLeast"/>
    </w:pPr>
  </w:style>
  <w:style w:type="character" w:styleId="Sledovanodkaz">
    <w:name w:val="FollowedHyperlink"/>
    <w:rsid w:val="00AA53E1"/>
    <w:rPr>
      <w:color w:val="954F72"/>
      <w:u w:val="single"/>
    </w:rPr>
  </w:style>
  <w:style w:type="character" w:styleId="Zdraznn">
    <w:name w:val="Emphasis"/>
    <w:uiPriority w:val="20"/>
    <w:qFormat/>
    <w:rsid w:val="00B16AC2"/>
    <w:rPr>
      <w:i/>
      <w:iCs/>
    </w:rPr>
  </w:style>
  <w:style w:type="paragraph" w:styleId="Nzev">
    <w:name w:val="Title"/>
    <w:basedOn w:val="Normln"/>
    <w:link w:val="NzevChar"/>
    <w:qFormat/>
    <w:rsid w:val="0093311E"/>
    <w:pPr>
      <w:jc w:val="center"/>
    </w:pPr>
    <w:rPr>
      <w:sz w:val="28"/>
      <w:szCs w:val="20"/>
      <w:lang w:val="x-none" w:eastAsia="x-none"/>
    </w:rPr>
  </w:style>
  <w:style w:type="character" w:customStyle="1" w:styleId="NzevChar">
    <w:name w:val="Název Char"/>
    <w:link w:val="Nzev"/>
    <w:rsid w:val="0093311E"/>
    <w:rPr>
      <w:sz w:val="28"/>
    </w:rPr>
  </w:style>
  <w:style w:type="character" w:styleId="Siln">
    <w:name w:val="Strong"/>
    <w:qFormat/>
    <w:rsid w:val="00E907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05624">
      <w:bodyDiv w:val="1"/>
      <w:marLeft w:val="0"/>
      <w:marRight w:val="0"/>
      <w:marTop w:val="0"/>
      <w:marBottom w:val="0"/>
      <w:divBdr>
        <w:top w:val="none" w:sz="0" w:space="0" w:color="auto"/>
        <w:left w:val="none" w:sz="0" w:space="0" w:color="auto"/>
        <w:bottom w:val="none" w:sz="0" w:space="0" w:color="auto"/>
        <w:right w:val="none" w:sz="0" w:space="0" w:color="auto"/>
      </w:divBdr>
    </w:div>
    <w:div w:id="272901007">
      <w:bodyDiv w:val="1"/>
      <w:marLeft w:val="0"/>
      <w:marRight w:val="0"/>
      <w:marTop w:val="0"/>
      <w:marBottom w:val="0"/>
      <w:divBdr>
        <w:top w:val="none" w:sz="0" w:space="0" w:color="auto"/>
        <w:left w:val="none" w:sz="0" w:space="0" w:color="auto"/>
        <w:bottom w:val="none" w:sz="0" w:space="0" w:color="auto"/>
        <w:right w:val="none" w:sz="0" w:space="0" w:color="auto"/>
      </w:divBdr>
    </w:div>
    <w:div w:id="297536706">
      <w:bodyDiv w:val="1"/>
      <w:marLeft w:val="0"/>
      <w:marRight w:val="0"/>
      <w:marTop w:val="0"/>
      <w:marBottom w:val="0"/>
      <w:divBdr>
        <w:top w:val="none" w:sz="0" w:space="0" w:color="auto"/>
        <w:left w:val="none" w:sz="0" w:space="0" w:color="auto"/>
        <w:bottom w:val="none" w:sz="0" w:space="0" w:color="auto"/>
        <w:right w:val="none" w:sz="0" w:space="0" w:color="auto"/>
      </w:divBdr>
    </w:div>
    <w:div w:id="381170589">
      <w:bodyDiv w:val="1"/>
      <w:marLeft w:val="0"/>
      <w:marRight w:val="0"/>
      <w:marTop w:val="0"/>
      <w:marBottom w:val="0"/>
      <w:divBdr>
        <w:top w:val="none" w:sz="0" w:space="0" w:color="auto"/>
        <w:left w:val="none" w:sz="0" w:space="0" w:color="auto"/>
        <w:bottom w:val="none" w:sz="0" w:space="0" w:color="auto"/>
        <w:right w:val="none" w:sz="0" w:space="0" w:color="auto"/>
      </w:divBdr>
    </w:div>
    <w:div w:id="655231813">
      <w:bodyDiv w:val="1"/>
      <w:marLeft w:val="0"/>
      <w:marRight w:val="0"/>
      <w:marTop w:val="0"/>
      <w:marBottom w:val="0"/>
      <w:divBdr>
        <w:top w:val="none" w:sz="0" w:space="0" w:color="auto"/>
        <w:left w:val="none" w:sz="0" w:space="0" w:color="auto"/>
        <w:bottom w:val="none" w:sz="0" w:space="0" w:color="auto"/>
        <w:right w:val="none" w:sz="0" w:space="0" w:color="auto"/>
      </w:divBdr>
    </w:div>
    <w:div w:id="666253117">
      <w:bodyDiv w:val="1"/>
      <w:marLeft w:val="0"/>
      <w:marRight w:val="0"/>
      <w:marTop w:val="0"/>
      <w:marBottom w:val="0"/>
      <w:divBdr>
        <w:top w:val="none" w:sz="0" w:space="0" w:color="auto"/>
        <w:left w:val="none" w:sz="0" w:space="0" w:color="auto"/>
        <w:bottom w:val="none" w:sz="0" w:space="0" w:color="auto"/>
        <w:right w:val="none" w:sz="0" w:space="0" w:color="auto"/>
      </w:divBdr>
    </w:div>
    <w:div w:id="689986819">
      <w:bodyDiv w:val="1"/>
      <w:marLeft w:val="0"/>
      <w:marRight w:val="0"/>
      <w:marTop w:val="0"/>
      <w:marBottom w:val="0"/>
      <w:divBdr>
        <w:top w:val="none" w:sz="0" w:space="0" w:color="auto"/>
        <w:left w:val="none" w:sz="0" w:space="0" w:color="auto"/>
        <w:bottom w:val="none" w:sz="0" w:space="0" w:color="auto"/>
        <w:right w:val="none" w:sz="0" w:space="0" w:color="auto"/>
      </w:divBdr>
    </w:div>
    <w:div w:id="758258621">
      <w:bodyDiv w:val="1"/>
      <w:marLeft w:val="0"/>
      <w:marRight w:val="0"/>
      <w:marTop w:val="0"/>
      <w:marBottom w:val="0"/>
      <w:divBdr>
        <w:top w:val="none" w:sz="0" w:space="0" w:color="auto"/>
        <w:left w:val="none" w:sz="0" w:space="0" w:color="auto"/>
        <w:bottom w:val="none" w:sz="0" w:space="0" w:color="auto"/>
        <w:right w:val="none" w:sz="0" w:space="0" w:color="auto"/>
      </w:divBdr>
    </w:div>
    <w:div w:id="804275404">
      <w:bodyDiv w:val="1"/>
      <w:marLeft w:val="0"/>
      <w:marRight w:val="0"/>
      <w:marTop w:val="0"/>
      <w:marBottom w:val="0"/>
      <w:divBdr>
        <w:top w:val="none" w:sz="0" w:space="0" w:color="auto"/>
        <w:left w:val="none" w:sz="0" w:space="0" w:color="auto"/>
        <w:bottom w:val="none" w:sz="0" w:space="0" w:color="auto"/>
        <w:right w:val="none" w:sz="0" w:space="0" w:color="auto"/>
      </w:divBdr>
    </w:div>
    <w:div w:id="1048796563">
      <w:bodyDiv w:val="1"/>
      <w:marLeft w:val="0"/>
      <w:marRight w:val="0"/>
      <w:marTop w:val="0"/>
      <w:marBottom w:val="0"/>
      <w:divBdr>
        <w:top w:val="none" w:sz="0" w:space="0" w:color="auto"/>
        <w:left w:val="none" w:sz="0" w:space="0" w:color="auto"/>
        <w:bottom w:val="none" w:sz="0" w:space="0" w:color="auto"/>
        <w:right w:val="none" w:sz="0" w:space="0" w:color="auto"/>
      </w:divBdr>
    </w:div>
    <w:div w:id="1457871997">
      <w:bodyDiv w:val="1"/>
      <w:marLeft w:val="0"/>
      <w:marRight w:val="0"/>
      <w:marTop w:val="0"/>
      <w:marBottom w:val="0"/>
      <w:divBdr>
        <w:top w:val="none" w:sz="0" w:space="0" w:color="auto"/>
        <w:left w:val="none" w:sz="0" w:space="0" w:color="auto"/>
        <w:bottom w:val="none" w:sz="0" w:space="0" w:color="auto"/>
        <w:right w:val="none" w:sz="0" w:space="0" w:color="auto"/>
      </w:divBdr>
    </w:div>
    <w:div w:id="1738162778">
      <w:bodyDiv w:val="1"/>
      <w:marLeft w:val="0"/>
      <w:marRight w:val="0"/>
      <w:marTop w:val="0"/>
      <w:marBottom w:val="0"/>
      <w:divBdr>
        <w:top w:val="none" w:sz="0" w:space="0" w:color="auto"/>
        <w:left w:val="none" w:sz="0" w:space="0" w:color="auto"/>
        <w:bottom w:val="none" w:sz="0" w:space="0" w:color="auto"/>
        <w:right w:val="none" w:sz="0" w:space="0" w:color="auto"/>
      </w:divBdr>
    </w:div>
    <w:div w:id="1980765387">
      <w:bodyDiv w:val="1"/>
      <w:marLeft w:val="0"/>
      <w:marRight w:val="0"/>
      <w:marTop w:val="0"/>
      <w:marBottom w:val="0"/>
      <w:divBdr>
        <w:top w:val="none" w:sz="0" w:space="0" w:color="auto"/>
        <w:left w:val="none" w:sz="0" w:space="0" w:color="auto"/>
        <w:bottom w:val="none" w:sz="0" w:space="0" w:color="auto"/>
        <w:right w:val="none" w:sz="0" w:space="0" w:color="auto"/>
      </w:divBdr>
    </w:div>
    <w:div w:id="2081714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A2D3D-3041-414E-B6F3-87C2CB0B4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Pages>
  <Words>861</Words>
  <Characters>5086</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Česká obchodní inspekce</vt:lpstr>
    </vt:vector>
  </TitlesOfParts>
  <Company>COI</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Česká obchodní inspekce</dc:title>
  <dc:subject/>
  <dc:creator>vjanca</dc:creator>
  <cp:keywords/>
  <dc:description/>
  <cp:lastModifiedBy>Tichota Ondřej</cp:lastModifiedBy>
  <cp:revision>11</cp:revision>
  <cp:lastPrinted>2020-03-20T08:49:00Z</cp:lastPrinted>
  <dcterms:created xsi:type="dcterms:W3CDTF">2021-01-30T20:30:00Z</dcterms:created>
  <dcterms:modified xsi:type="dcterms:W3CDTF">2021-03-01T10:24:00Z</dcterms:modified>
</cp:coreProperties>
</file>