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3085"/>
        <w:gridCol w:w="6127"/>
      </w:tblGrid>
      <w:tr w:rsidR="002D7F03" w:rsidRPr="00B54678" w14:paraId="47B791CE" w14:textId="77777777" w:rsidTr="002D7F03">
        <w:trPr>
          <w:trHeight w:val="907"/>
        </w:trPr>
        <w:tc>
          <w:tcPr>
            <w:tcW w:w="3085" w:type="dxa"/>
            <w:shd w:val="clear" w:color="auto" w:fill="auto"/>
          </w:tcPr>
          <w:p w14:paraId="09F54504" w14:textId="19D900EE" w:rsidR="002D7F03" w:rsidRPr="00B54678" w:rsidRDefault="008072AB" w:rsidP="002D7F03">
            <w:pPr>
              <w:rPr>
                <w:rFonts w:ascii="Calibri" w:hAnsi="Calibri"/>
                <w:lang w:val="en-GB"/>
              </w:rPr>
            </w:pPr>
            <w:r w:rsidRPr="00B54678">
              <w:rPr>
                <w:rFonts w:ascii="Calibri" w:hAnsi="Calibri"/>
                <w:noProof/>
                <w:lang w:val="en-GB"/>
              </w:rPr>
              <w:drawing>
                <wp:inline distT="0" distB="0" distL="0" distR="0" wp14:anchorId="26838B5C" wp14:editId="60618FDD">
                  <wp:extent cx="1911350" cy="5778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r="14830"/>
                          <a:stretch>
                            <a:fillRect/>
                          </a:stretch>
                        </pic:blipFill>
                        <pic:spPr bwMode="auto">
                          <a:xfrm>
                            <a:off x="0" y="0"/>
                            <a:ext cx="1911350" cy="577850"/>
                          </a:xfrm>
                          <a:prstGeom prst="rect">
                            <a:avLst/>
                          </a:prstGeom>
                          <a:noFill/>
                          <a:ln>
                            <a:noFill/>
                          </a:ln>
                        </pic:spPr>
                      </pic:pic>
                    </a:graphicData>
                  </a:graphic>
                </wp:inline>
              </w:drawing>
            </w:r>
          </w:p>
        </w:tc>
        <w:tc>
          <w:tcPr>
            <w:tcW w:w="6127" w:type="dxa"/>
            <w:shd w:val="clear" w:color="auto" w:fill="D9D9D9"/>
            <w:vAlign w:val="center"/>
          </w:tcPr>
          <w:p w14:paraId="21655697" w14:textId="032C469F" w:rsidR="002D7F03" w:rsidRPr="00B54678" w:rsidRDefault="00C35F33" w:rsidP="002D7F03">
            <w:pPr>
              <w:jc w:val="center"/>
              <w:rPr>
                <w:rFonts w:ascii="Calibri" w:hAnsi="Calibri" w:cs="Arial"/>
                <w:b/>
                <w:sz w:val="56"/>
                <w:szCs w:val="56"/>
                <w:lang w:val="en-GB"/>
              </w:rPr>
            </w:pPr>
            <w:r w:rsidRPr="00B54678">
              <w:rPr>
                <w:rFonts w:ascii="Calibri" w:hAnsi="Calibri" w:cs="Arial"/>
                <w:b/>
                <w:sz w:val="56"/>
                <w:szCs w:val="56"/>
                <w:lang w:val="en-GB"/>
              </w:rPr>
              <w:t>PRESS RELEASE</w:t>
            </w:r>
          </w:p>
        </w:tc>
      </w:tr>
    </w:tbl>
    <w:p w14:paraId="68617974" w14:textId="77777777" w:rsidR="004E047A" w:rsidRPr="00B54678" w:rsidRDefault="004E047A" w:rsidP="00C54DF4">
      <w:pPr>
        <w:jc w:val="both"/>
        <w:rPr>
          <w:rFonts w:ascii="Calibri" w:hAnsi="Calibri"/>
          <w:sz w:val="22"/>
          <w:szCs w:val="22"/>
          <w:lang w:val="en-GB"/>
        </w:rPr>
      </w:pPr>
    </w:p>
    <w:p w14:paraId="0AB94F20" w14:textId="4974E456" w:rsidR="00C35F33" w:rsidRPr="00B54678" w:rsidRDefault="00FB3EBF" w:rsidP="00C35F33">
      <w:pPr>
        <w:spacing w:before="120" w:after="120" w:line="276" w:lineRule="auto"/>
        <w:jc w:val="both"/>
        <w:rPr>
          <w:rFonts w:ascii="Calibri" w:hAnsi="Calibri" w:cs="Arial"/>
          <w:b/>
          <w:color w:val="0070C0"/>
          <w:sz w:val="32"/>
          <w:szCs w:val="32"/>
          <w:lang w:val="en-GB"/>
        </w:rPr>
      </w:pPr>
      <w:r w:rsidRPr="00B54678">
        <w:rPr>
          <w:rFonts w:ascii="Calibri" w:hAnsi="Calibri" w:cs="Arial"/>
          <w:b/>
          <w:color w:val="0070C0"/>
          <w:sz w:val="32"/>
          <w:szCs w:val="32"/>
          <w:lang w:val="en-GB"/>
        </w:rPr>
        <w:t>I</w:t>
      </w:r>
      <w:r w:rsidR="00C35F33" w:rsidRPr="00B54678">
        <w:rPr>
          <w:rFonts w:ascii="Calibri" w:hAnsi="Calibri" w:cs="Arial"/>
          <w:b/>
          <w:color w:val="0070C0"/>
          <w:sz w:val="32"/>
          <w:szCs w:val="32"/>
          <w:lang w:val="en-GB"/>
        </w:rPr>
        <w:t xml:space="preserve">nspections of energy intermediaries again demonstrated unfair </w:t>
      </w:r>
      <w:r w:rsidRPr="00B54678">
        <w:rPr>
          <w:rFonts w:ascii="Calibri" w:hAnsi="Calibri" w:cs="Arial"/>
          <w:b/>
          <w:color w:val="0070C0"/>
          <w:sz w:val="32"/>
          <w:szCs w:val="32"/>
          <w:lang w:val="en-GB"/>
        </w:rPr>
        <w:t>commercial</w:t>
      </w:r>
      <w:r w:rsidR="00C35F33" w:rsidRPr="00B54678">
        <w:rPr>
          <w:rFonts w:ascii="Calibri" w:hAnsi="Calibri" w:cs="Arial"/>
          <w:b/>
          <w:color w:val="0070C0"/>
          <w:sz w:val="32"/>
          <w:szCs w:val="32"/>
          <w:lang w:val="en-GB"/>
        </w:rPr>
        <w:t xml:space="preserve"> practices</w:t>
      </w:r>
    </w:p>
    <w:p w14:paraId="021D31CE" w14:textId="77777777" w:rsidR="00C35F33" w:rsidRPr="00B54678" w:rsidRDefault="00C35F33" w:rsidP="00C35F33">
      <w:pPr>
        <w:spacing w:before="120" w:after="120" w:line="276" w:lineRule="auto"/>
        <w:jc w:val="both"/>
        <w:rPr>
          <w:rFonts w:asciiTheme="minorHAnsi" w:hAnsiTheme="minorHAnsi" w:cstheme="minorHAnsi"/>
          <w:i/>
          <w:lang w:val="en-GB"/>
        </w:rPr>
      </w:pPr>
      <w:r w:rsidRPr="00B54678">
        <w:rPr>
          <w:rFonts w:asciiTheme="minorHAnsi" w:hAnsiTheme="minorHAnsi" w:cstheme="minorHAnsi"/>
          <w:i/>
          <w:lang w:val="en-GB"/>
        </w:rPr>
        <w:t>(Final report 2020)</w:t>
      </w:r>
    </w:p>
    <w:p w14:paraId="350C61A3" w14:textId="63847194" w:rsidR="00C35F33" w:rsidRPr="00B54678" w:rsidRDefault="00C35F33" w:rsidP="00C35F33">
      <w:pPr>
        <w:spacing w:before="120" w:after="120" w:line="276" w:lineRule="auto"/>
        <w:jc w:val="both"/>
        <w:rPr>
          <w:rFonts w:asciiTheme="minorHAnsi" w:hAnsiTheme="minorHAnsi" w:cstheme="minorHAnsi"/>
          <w:b/>
          <w:lang w:val="en-GB"/>
        </w:rPr>
      </w:pPr>
      <w:r w:rsidRPr="00B54678">
        <w:rPr>
          <w:rFonts w:asciiTheme="minorHAnsi" w:hAnsiTheme="minorHAnsi" w:cstheme="minorHAnsi"/>
          <w:b/>
          <w:i/>
          <w:lang w:val="en-GB"/>
        </w:rPr>
        <w:t>(Prague, 5 March 2021)</w:t>
      </w:r>
      <w:r w:rsidRPr="00B54678">
        <w:rPr>
          <w:rFonts w:asciiTheme="minorHAnsi" w:hAnsiTheme="minorHAnsi" w:cstheme="minorHAnsi"/>
          <w:b/>
          <w:lang w:val="en-GB"/>
        </w:rPr>
        <w:t xml:space="preserve"> The Czech Trade Inspection Authority also focused on the activities of intermediaries of energy supply contracts</w:t>
      </w:r>
      <w:r w:rsidR="00FB3EBF" w:rsidRPr="00B54678">
        <w:rPr>
          <w:rFonts w:asciiTheme="minorHAnsi" w:hAnsiTheme="minorHAnsi" w:cstheme="minorHAnsi"/>
          <w:b/>
          <w:lang w:val="en-GB"/>
        </w:rPr>
        <w:t xml:space="preserve"> in 2020. It</w:t>
      </w:r>
      <w:r w:rsidRPr="00B54678">
        <w:rPr>
          <w:rFonts w:asciiTheme="minorHAnsi" w:hAnsiTheme="minorHAnsi" w:cstheme="minorHAnsi"/>
          <w:b/>
          <w:lang w:val="en-GB"/>
        </w:rPr>
        <w:t xml:space="preserve"> carried out 39 inspections and detected infringements in 34 cases where a larger proportion of the inspected traders used unfair and deceptive practices. </w:t>
      </w:r>
    </w:p>
    <w:p w14:paraId="631A77B6" w14:textId="5DC8989B" w:rsidR="00C35F33" w:rsidRPr="00B54678" w:rsidRDefault="00C35F33" w:rsidP="00C35F33">
      <w:pPr>
        <w:spacing w:before="120" w:after="120" w:line="276" w:lineRule="auto"/>
        <w:jc w:val="both"/>
        <w:rPr>
          <w:rFonts w:asciiTheme="minorHAnsi" w:hAnsiTheme="minorHAnsi" w:cstheme="minorHAnsi"/>
          <w:lang w:val="en-GB"/>
        </w:rPr>
      </w:pPr>
      <w:r w:rsidRPr="00B54678">
        <w:rPr>
          <w:rFonts w:asciiTheme="minorHAnsi" w:hAnsiTheme="minorHAnsi" w:cstheme="minorHAnsi"/>
          <w:lang w:val="en-GB"/>
        </w:rPr>
        <w:t>In 2020, the Czech Trade Ins</w:t>
      </w:r>
      <w:r w:rsidR="00FB3EBF" w:rsidRPr="00B54678">
        <w:rPr>
          <w:rFonts w:asciiTheme="minorHAnsi" w:hAnsiTheme="minorHAnsi" w:cstheme="minorHAnsi"/>
          <w:lang w:val="en-GB"/>
        </w:rPr>
        <w:t xml:space="preserve">pection Authority carried out an inspection </w:t>
      </w:r>
      <w:r w:rsidRPr="00B54678">
        <w:rPr>
          <w:rFonts w:asciiTheme="minorHAnsi" w:hAnsiTheme="minorHAnsi" w:cstheme="minorHAnsi"/>
          <w:lang w:val="en-GB"/>
        </w:rPr>
        <w:t>action focused on the offer and provision of services related to the intermediation and conclusion of energy supply contracts. In total, it carried out 39 inspections and detected infringements in 34 cases (87.2%).</w:t>
      </w:r>
    </w:p>
    <w:p w14:paraId="568CE3BE" w14:textId="77777777" w:rsidR="00A04D50" w:rsidRPr="00B54678" w:rsidRDefault="00A04D50" w:rsidP="00A04D50">
      <w:pPr>
        <w:jc w:val="both"/>
        <w:rPr>
          <w:rFonts w:asciiTheme="minorHAnsi" w:hAnsiTheme="minorHAnsi" w:cstheme="minorHAnsi"/>
          <w:lang w:val="en-GB"/>
        </w:rPr>
      </w:pPr>
    </w:p>
    <w:tbl>
      <w:tblPr>
        <w:tblW w:w="5000" w:type="pct"/>
        <w:tblCellMar>
          <w:left w:w="70" w:type="dxa"/>
          <w:right w:w="70" w:type="dxa"/>
        </w:tblCellMar>
        <w:tblLook w:val="04A0" w:firstRow="1" w:lastRow="0" w:firstColumn="1" w:lastColumn="0" w:noHBand="0" w:noVBand="1"/>
      </w:tblPr>
      <w:tblGrid>
        <w:gridCol w:w="3127"/>
        <w:gridCol w:w="2267"/>
        <w:gridCol w:w="2386"/>
        <w:gridCol w:w="1606"/>
      </w:tblGrid>
      <w:tr w:rsidR="00310F69" w:rsidRPr="00B54678" w14:paraId="377BEBB9" w14:textId="77777777" w:rsidTr="00310F69">
        <w:trPr>
          <w:trHeight w:val="309"/>
        </w:trPr>
        <w:tc>
          <w:tcPr>
            <w:tcW w:w="1958" w:type="pct"/>
            <w:vMerge w:val="restart"/>
            <w:tcBorders>
              <w:top w:val="single" w:sz="8" w:space="0" w:color="auto"/>
              <w:left w:val="single" w:sz="8" w:space="0" w:color="auto"/>
              <w:bottom w:val="single" w:sz="8" w:space="0" w:color="auto"/>
              <w:right w:val="single" w:sz="8" w:space="0" w:color="auto"/>
            </w:tcBorders>
            <w:shd w:val="clear" w:color="000000" w:fill="C5D9F1"/>
            <w:noWrap/>
            <w:vAlign w:val="center"/>
            <w:hideMark/>
          </w:tcPr>
          <w:p w14:paraId="7609D699" w14:textId="263FEE51" w:rsidR="00A04D50" w:rsidRPr="00B54678" w:rsidRDefault="003848C1" w:rsidP="00BC3565">
            <w:pPr>
              <w:jc w:val="center"/>
              <w:rPr>
                <w:rFonts w:asciiTheme="minorHAnsi" w:hAnsiTheme="minorHAnsi" w:cstheme="minorHAnsi"/>
                <w:b/>
                <w:bCs/>
                <w:color w:val="000000"/>
                <w:lang w:val="en-GB"/>
              </w:rPr>
            </w:pPr>
            <w:r w:rsidRPr="00B54678">
              <w:rPr>
                <w:rFonts w:asciiTheme="minorHAnsi" w:hAnsiTheme="minorHAnsi" w:cstheme="minorHAnsi"/>
                <w:b/>
                <w:bCs/>
                <w:color w:val="000000"/>
                <w:lang w:val="en-GB"/>
              </w:rPr>
              <w:t>Inspectorate</w:t>
            </w:r>
          </w:p>
        </w:tc>
        <w:tc>
          <w:tcPr>
            <w:tcW w:w="922" w:type="pct"/>
            <w:vMerge w:val="restart"/>
            <w:tcBorders>
              <w:top w:val="single" w:sz="8" w:space="0" w:color="auto"/>
              <w:left w:val="single" w:sz="8" w:space="0" w:color="auto"/>
              <w:bottom w:val="single" w:sz="8" w:space="0" w:color="auto"/>
              <w:right w:val="single" w:sz="8" w:space="0" w:color="auto"/>
            </w:tcBorders>
            <w:shd w:val="clear" w:color="000000" w:fill="C5D9F1"/>
            <w:noWrap/>
            <w:vAlign w:val="center"/>
            <w:hideMark/>
          </w:tcPr>
          <w:p w14:paraId="727A9EF8" w14:textId="72C0D68D" w:rsidR="00A04D50" w:rsidRPr="00B54678" w:rsidRDefault="003848C1" w:rsidP="00BC3565">
            <w:pPr>
              <w:jc w:val="center"/>
              <w:rPr>
                <w:rFonts w:asciiTheme="minorHAnsi" w:hAnsiTheme="minorHAnsi" w:cstheme="minorHAnsi"/>
                <w:b/>
                <w:bCs/>
                <w:color w:val="000000"/>
                <w:lang w:val="en-GB"/>
              </w:rPr>
            </w:pPr>
            <w:r w:rsidRPr="00B54678">
              <w:rPr>
                <w:rFonts w:asciiTheme="minorHAnsi" w:hAnsiTheme="minorHAnsi" w:cstheme="minorHAnsi"/>
                <w:b/>
                <w:bCs/>
                <w:color w:val="000000"/>
                <w:lang w:val="en-GB"/>
              </w:rPr>
              <w:t>Number of inspections</w:t>
            </w:r>
          </w:p>
        </w:tc>
        <w:tc>
          <w:tcPr>
            <w:tcW w:w="1266" w:type="pct"/>
            <w:vMerge w:val="restart"/>
            <w:tcBorders>
              <w:top w:val="single" w:sz="8" w:space="0" w:color="auto"/>
              <w:left w:val="single" w:sz="8" w:space="0" w:color="auto"/>
              <w:bottom w:val="single" w:sz="8" w:space="0" w:color="auto"/>
              <w:right w:val="single" w:sz="8" w:space="0" w:color="auto"/>
            </w:tcBorders>
            <w:shd w:val="clear" w:color="000000" w:fill="C5D9F1"/>
            <w:noWrap/>
            <w:vAlign w:val="center"/>
            <w:hideMark/>
          </w:tcPr>
          <w:p w14:paraId="653185CE" w14:textId="74F491AD" w:rsidR="00A04D50" w:rsidRPr="00B54678" w:rsidRDefault="003848C1" w:rsidP="00BC3565">
            <w:pPr>
              <w:jc w:val="center"/>
              <w:rPr>
                <w:rFonts w:asciiTheme="minorHAnsi" w:hAnsiTheme="minorHAnsi" w:cstheme="minorHAnsi"/>
                <w:b/>
                <w:bCs/>
                <w:color w:val="000000"/>
                <w:lang w:val="en-GB"/>
              </w:rPr>
            </w:pPr>
            <w:r w:rsidRPr="00B54678">
              <w:rPr>
                <w:rFonts w:asciiTheme="minorHAnsi" w:hAnsiTheme="minorHAnsi" w:cstheme="minorHAnsi"/>
                <w:b/>
                <w:bCs/>
                <w:color w:val="000000"/>
                <w:lang w:val="en-GB"/>
              </w:rPr>
              <w:t>Inspection with findings</w:t>
            </w:r>
          </w:p>
        </w:tc>
        <w:tc>
          <w:tcPr>
            <w:tcW w:w="854" w:type="pct"/>
            <w:vMerge w:val="restart"/>
            <w:tcBorders>
              <w:top w:val="single" w:sz="8" w:space="0" w:color="auto"/>
              <w:left w:val="single" w:sz="8" w:space="0" w:color="auto"/>
              <w:bottom w:val="single" w:sz="8" w:space="0" w:color="auto"/>
              <w:right w:val="single" w:sz="8" w:space="0" w:color="auto"/>
            </w:tcBorders>
            <w:shd w:val="clear" w:color="000000" w:fill="C5D9F1"/>
            <w:noWrap/>
            <w:vAlign w:val="center"/>
            <w:hideMark/>
          </w:tcPr>
          <w:p w14:paraId="37E71776" w14:textId="4BC2D6A2" w:rsidR="00A04D50" w:rsidRPr="00B54678" w:rsidRDefault="003848C1" w:rsidP="00BC3565">
            <w:pPr>
              <w:jc w:val="center"/>
              <w:rPr>
                <w:rFonts w:asciiTheme="minorHAnsi" w:hAnsiTheme="minorHAnsi" w:cstheme="minorHAnsi"/>
                <w:b/>
                <w:bCs/>
                <w:color w:val="000000"/>
                <w:lang w:val="en-GB"/>
              </w:rPr>
            </w:pPr>
            <w:proofErr w:type="spellStart"/>
            <w:r w:rsidRPr="00B54678">
              <w:rPr>
                <w:rFonts w:asciiTheme="minorHAnsi" w:hAnsiTheme="minorHAnsi" w:cstheme="minorHAnsi"/>
                <w:b/>
                <w:bCs/>
                <w:color w:val="000000"/>
                <w:lang w:val="en-GB"/>
              </w:rPr>
              <w:t>Findigns</w:t>
            </w:r>
            <w:proofErr w:type="spellEnd"/>
            <w:r w:rsidRPr="00B54678">
              <w:rPr>
                <w:rFonts w:asciiTheme="minorHAnsi" w:hAnsiTheme="minorHAnsi" w:cstheme="minorHAnsi"/>
                <w:b/>
                <w:bCs/>
                <w:color w:val="000000"/>
                <w:lang w:val="en-GB"/>
              </w:rPr>
              <w:t xml:space="preserve"> in %</w:t>
            </w:r>
          </w:p>
        </w:tc>
      </w:tr>
      <w:tr w:rsidR="00B54678" w:rsidRPr="00B54678" w14:paraId="330AA690" w14:textId="77777777" w:rsidTr="00310F69">
        <w:trPr>
          <w:trHeight w:val="509"/>
        </w:trPr>
        <w:tc>
          <w:tcPr>
            <w:tcW w:w="1958" w:type="pct"/>
            <w:vMerge/>
            <w:tcBorders>
              <w:top w:val="single" w:sz="8" w:space="0" w:color="auto"/>
              <w:left w:val="single" w:sz="8" w:space="0" w:color="auto"/>
              <w:bottom w:val="single" w:sz="8" w:space="0" w:color="auto"/>
              <w:right w:val="single" w:sz="8" w:space="0" w:color="auto"/>
            </w:tcBorders>
            <w:vAlign w:val="center"/>
            <w:hideMark/>
          </w:tcPr>
          <w:p w14:paraId="280EFA97" w14:textId="77777777" w:rsidR="00A04D50" w:rsidRPr="00B54678" w:rsidRDefault="00A04D50" w:rsidP="00BC3565">
            <w:pPr>
              <w:rPr>
                <w:rFonts w:asciiTheme="minorHAnsi" w:hAnsiTheme="minorHAnsi" w:cstheme="minorHAnsi"/>
                <w:b/>
                <w:bCs/>
                <w:color w:val="000000"/>
                <w:lang w:val="en-GB"/>
              </w:rPr>
            </w:pPr>
          </w:p>
        </w:tc>
        <w:tc>
          <w:tcPr>
            <w:tcW w:w="922" w:type="pct"/>
            <w:vMerge/>
            <w:tcBorders>
              <w:top w:val="single" w:sz="8" w:space="0" w:color="auto"/>
              <w:left w:val="single" w:sz="8" w:space="0" w:color="auto"/>
              <w:bottom w:val="single" w:sz="8" w:space="0" w:color="auto"/>
              <w:right w:val="single" w:sz="8" w:space="0" w:color="auto"/>
            </w:tcBorders>
            <w:vAlign w:val="center"/>
            <w:hideMark/>
          </w:tcPr>
          <w:p w14:paraId="61B03949" w14:textId="77777777" w:rsidR="00A04D50" w:rsidRPr="00B54678" w:rsidRDefault="00A04D50" w:rsidP="00BC3565">
            <w:pPr>
              <w:rPr>
                <w:rFonts w:asciiTheme="minorHAnsi" w:hAnsiTheme="minorHAnsi" w:cstheme="minorHAnsi"/>
                <w:b/>
                <w:bCs/>
                <w:color w:val="000000"/>
                <w:lang w:val="en-GB"/>
              </w:rPr>
            </w:pPr>
          </w:p>
        </w:tc>
        <w:tc>
          <w:tcPr>
            <w:tcW w:w="1266" w:type="pct"/>
            <w:vMerge/>
            <w:tcBorders>
              <w:top w:val="single" w:sz="8" w:space="0" w:color="auto"/>
              <w:left w:val="single" w:sz="8" w:space="0" w:color="auto"/>
              <w:bottom w:val="single" w:sz="8" w:space="0" w:color="auto"/>
              <w:right w:val="single" w:sz="8" w:space="0" w:color="auto"/>
            </w:tcBorders>
            <w:vAlign w:val="center"/>
            <w:hideMark/>
          </w:tcPr>
          <w:p w14:paraId="40929BD5" w14:textId="77777777" w:rsidR="00A04D50" w:rsidRPr="00B54678" w:rsidRDefault="00A04D50" w:rsidP="00BC3565">
            <w:pPr>
              <w:rPr>
                <w:rFonts w:asciiTheme="minorHAnsi" w:hAnsiTheme="minorHAnsi" w:cstheme="minorHAnsi"/>
                <w:b/>
                <w:bCs/>
                <w:color w:val="000000"/>
                <w:lang w:val="en-GB"/>
              </w:rPr>
            </w:pPr>
          </w:p>
        </w:tc>
        <w:tc>
          <w:tcPr>
            <w:tcW w:w="854" w:type="pct"/>
            <w:vMerge/>
            <w:tcBorders>
              <w:top w:val="single" w:sz="8" w:space="0" w:color="auto"/>
              <w:left w:val="single" w:sz="8" w:space="0" w:color="auto"/>
              <w:bottom w:val="single" w:sz="8" w:space="0" w:color="auto"/>
              <w:right w:val="single" w:sz="8" w:space="0" w:color="auto"/>
            </w:tcBorders>
            <w:vAlign w:val="center"/>
            <w:hideMark/>
          </w:tcPr>
          <w:p w14:paraId="53710CF3" w14:textId="77777777" w:rsidR="00A04D50" w:rsidRPr="00B54678" w:rsidRDefault="00A04D50" w:rsidP="00BC3565">
            <w:pPr>
              <w:rPr>
                <w:rFonts w:asciiTheme="minorHAnsi" w:hAnsiTheme="minorHAnsi" w:cstheme="minorHAnsi"/>
                <w:b/>
                <w:bCs/>
                <w:color w:val="000000"/>
                <w:lang w:val="en-GB"/>
              </w:rPr>
            </w:pPr>
          </w:p>
        </w:tc>
      </w:tr>
      <w:tr w:rsidR="00310F69" w:rsidRPr="00B54678" w14:paraId="3086B2BC" w14:textId="77777777" w:rsidTr="00310F69">
        <w:trPr>
          <w:trHeight w:val="315"/>
        </w:trPr>
        <w:tc>
          <w:tcPr>
            <w:tcW w:w="1958" w:type="pct"/>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3AA4A573" w14:textId="74F0712A" w:rsidR="00A04D50" w:rsidRPr="00B54678" w:rsidRDefault="00A04D50" w:rsidP="00310F69">
            <w:pPr>
              <w:rPr>
                <w:rFonts w:asciiTheme="minorHAnsi" w:hAnsiTheme="minorHAnsi" w:cstheme="minorHAnsi"/>
                <w:color w:val="000000"/>
                <w:lang w:val="en-GB"/>
              </w:rPr>
            </w:pPr>
            <w:r w:rsidRPr="00B54678">
              <w:rPr>
                <w:rFonts w:asciiTheme="minorHAnsi" w:hAnsiTheme="minorHAnsi" w:cstheme="minorHAnsi"/>
                <w:color w:val="000000"/>
                <w:lang w:val="en-GB"/>
              </w:rPr>
              <w:t>Středočeský a</w:t>
            </w:r>
            <w:r w:rsidR="00310F69" w:rsidRPr="00B54678">
              <w:rPr>
                <w:rFonts w:asciiTheme="minorHAnsi" w:hAnsiTheme="minorHAnsi" w:cstheme="minorHAnsi"/>
                <w:color w:val="000000"/>
                <w:lang w:val="en-GB"/>
              </w:rPr>
              <w:t>nd Prague</w:t>
            </w:r>
          </w:p>
        </w:tc>
        <w:tc>
          <w:tcPr>
            <w:tcW w:w="922" w:type="pct"/>
            <w:tcBorders>
              <w:top w:val="single" w:sz="8" w:space="0" w:color="auto"/>
              <w:left w:val="nil"/>
              <w:bottom w:val="single" w:sz="4" w:space="0" w:color="auto"/>
              <w:right w:val="single" w:sz="4" w:space="0" w:color="auto"/>
            </w:tcBorders>
            <w:shd w:val="clear" w:color="000000" w:fill="DCE6F1"/>
            <w:noWrap/>
            <w:vAlign w:val="center"/>
          </w:tcPr>
          <w:p w14:paraId="596BFD06" w14:textId="77777777" w:rsidR="00A04D50" w:rsidRPr="00B54678" w:rsidRDefault="00A04D50" w:rsidP="00BC3565">
            <w:pPr>
              <w:ind w:firstLineChars="400" w:firstLine="960"/>
              <w:jc w:val="right"/>
              <w:rPr>
                <w:rFonts w:asciiTheme="minorHAnsi" w:hAnsiTheme="minorHAnsi" w:cstheme="minorHAnsi"/>
                <w:color w:val="000000"/>
                <w:lang w:val="en-GB"/>
              </w:rPr>
            </w:pPr>
            <w:r w:rsidRPr="00B54678">
              <w:rPr>
                <w:rFonts w:asciiTheme="minorHAnsi" w:hAnsiTheme="minorHAnsi" w:cstheme="minorHAnsi"/>
                <w:color w:val="000000"/>
                <w:lang w:val="en-GB"/>
              </w:rPr>
              <w:t>33</w:t>
            </w:r>
          </w:p>
        </w:tc>
        <w:tc>
          <w:tcPr>
            <w:tcW w:w="1266" w:type="pct"/>
            <w:tcBorders>
              <w:top w:val="single" w:sz="8" w:space="0" w:color="auto"/>
              <w:left w:val="single" w:sz="4" w:space="0" w:color="auto"/>
              <w:bottom w:val="single" w:sz="4" w:space="0" w:color="auto"/>
              <w:right w:val="single" w:sz="4" w:space="0" w:color="auto"/>
            </w:tcBorders>
            <w:shd w:val="clear" w:color="000000" w:fill="DCE6F1"/>
            <w:noWrap/>
            <w:vAlign w:val="center"/>
          </w:tcPr>
          <w:p w14:paraId="1ED6BDA0" w14:textId="77777777" w:rsidR="00A04D50" w:rsidRPr="00B54678" w:rsidRDefault="00A04D50" w:rsidP="00BC3565">
            <w:pPr>
              <w:ind w:firstLineChars="400" w:firstLine="960"/>
              <w:jc w:val="right"/>
              <w:rPr>
                <w:rFonts w:asciiTheme="minorHAnsi" w:hAnsiTheme="minorHAnsi" w:cstheme="minorHAnsi"/>
                <w:lang w:val="en-GB"/>
              </w:rPr>
            </w:pPr>
            <w:r w:rsidRPr="00B54678">
              <w:rPr>
                <w:rFonts w:asciiTheme="minorHAnsi" w:hAnsiTheme="minorHAnsi" w:cstheme="minorHAnsi"/>
                <w:lang w:val="en-GB"/>
              </w:rPr>
              <w:t>29</w:t>
            </w:r>
          </w:p>
        </w:tc>
        <w:tc>
          <w:tcPr>
            <w:tcW w:w="854" w:type="pct"/>
            <w:tcBorders>
              <w:top w:val="single" w:sz="8" w:space="0" w:color="auto"/>
              <w:left w:val="single" w:sz="4" w:space="0" w:color="auto"/>
              <w:bottom w:val="single" w:sz="4" w:space="0" w:color="auto"/>
              <w:right w:val="single" w:sz="8" w:space="0" w:color="auto"/>
            </w:tcBorders>
            <w:shd w:val="clear" w:color="000000" w:fill="DCE6F1"/>
            <w:noWrap/>
            <w:vAlign w:val="center"/>
            <w:hideMark/>
          </w:tcPr>
          <w:p w14:paraId="2F3572ED" w14:textId="761DD895" w:rsidR="00A04D50" w:rsidRPr="00B54678" w:rsidRDefault="00310F69" w:rsidP="00310F69">
            <w:pPr>
              <w:ind w:firstLineChars="91" w:firstLine="218"/>
              <w:jc w:val="right"/>
              <w:rPr>
                <w:rFonts w:asciiTheme="minorHAnsi" w:hAnsiTheme="minorHAnsi" w:cstheme="minorHAnsi"/>
                <w:lang w:val="en-GB"/>
              </w:rPr>
            </w:pPr>
            <w:r w:rsidRPr="00B54678">
              <w:rPr>
                <w:rFonts w:asciiTheme="minorHAnsi" w:hAnsiTheme="minorHAnsi" w:cstheme="minorHAnsi"/>
                <w:lang w:val="en-GB"/>
              </w:rPr>
              <w:t>87.</w:t>
            </w:r>
            <w:r w:rsidR="00A04D50" w:rsidRPr="00B54678">
              <w:rPr>
                <w:rFonts w:asciiTheme="minorHAnsi" w:hAnsiTheme="minorHAnsi" w:cstheme="minorHAnsi"/>
                <w:lang w:val="en-GB"/>
              </w:rPr>
              <w:t>9%</w:t>
            </w:r>
          </w:p>
        </w:tc>
      </w:tr>
      <w:tr w:rsidR="00310F69" w:rsidRPr="00B54678" w14:paraId="110B57AC" w14:textId="77777777" w:rsidTr="00310F69">
        <w:trPr>
          <w:trHeight w:val="300"/>
        </w:trPr>
        <w:tc>
          <w:tcPr>
            <w:tcW w:w="1958" w:type="pct"/>
            <w:tcBorders>
              <w:top w:val="nil"/>
              <w:left w:val="single" w:sz="8" w:space="0" w:color="auto"/>
              <w:bottom w:val="single" w:sz="4" w:space="0" w:color="auto"/>
              <w:right w:val="single" w:sz="4" w:space="0" w:color="auto"/>
            </w:tcBorders>
            <w:shd w:val="clear" w:color="000000" w:fill="DAEEF3"/>
            <w:noWrap/>
            <w:vAlign w:val="center"/>
            <w:hideMark/>
          </w:tcPr>
          <w:p w14:paraId="3A839876" w14:textId="6E539CD3" w:rsidR="00A04D50" w:rsidRPr="00B54678" w:rsidRDefault="00A04D50" w:rsidP="00310F69">
            <w:pPr>
              <w:rPr>
                <w:rFonts w:asciiTheme="minorHAnsi" w:hAnsiTheme="minorHAnsi" w:cstheme="minorHAnsi"/>
                <w:color w:val="000000"/>
                <w:lang w:val="en-GB"/>
              </w:rPr>
            </w:pPr>
            <w:r w:rsidRPr="00B54678">
              <w:rPr>
                <w:rFonts w:asciiTheme="minorHAnsi" w:hAnsiTheme="minorHAnsi" w:cstheme="minorHAnsi"/>
                <w:color w:val="000000"/>
                <w:lang w:val="en-GB"/>
              </w:rPr>
              <w:t>Jihočeský a</w:t>
            </w:r>
            <w:r w:rsidR="00310F69" w:rsidRPr="00B54678">
              <w:rPr>
                <w:rFonts w:asciiTheme="minorHAnsi" w:hAnsiTheme="minorHAnsi" w:cstheme="minorHAnsi"/>
                <w:color w:val="000000"/>
                <w:lang w:val="en-GB"/>
              </w:rPr>
              <w:t>nd</w:t>
            </w:r>
            <w:r w:rsidRPr="00B54678">
              <w:rPr>
                <w:rFonts w:asciiTheme="minorHAnsi" w:hAnsiTheme="minorHAnsi" w:cstheme="minorHAnsi"/>
                <w:color w:val="000000"/>
                <w:lang w:val="en-GB"/>
              </w:rPr>
              <w:t xml:space="preserve"> Vysočina</w:t>
            </w:r>
          </w:p>
        </w:tc>
        <w:tc>
          <w:tcPr>
            <w:tcW w:w="922" w:type="pct"/>
            <w:tcBorders>
              <w:top w:val="single" w:sz="4" w:space="0" w:color="auto"/>
              <w:left w:val="nil"/>
              <w:bottom w:val="single" w:sz="4" w:space="0" w:color="auto"/>
              <w:right w:val="single" w:sz="4" w:space="0" w:color="auto"/>
            </w:tcBorders>
            <w:shd w:val="clear" w:color="000000" w:fill="DAEEF3"/>
            <w:noWrap/>
            <w:vAlign w:val="center"/>
          </w:tcPr>
          <w:p w14:paraId="657CA940" w14:textId="77777777" w:rsidR="00A04D50" w:rsidRPr="00B54678" w:rsidRDefault="00A04D50" w:rsidP="00BC3565">
            <w:pPr>
              <w:ind w:firstLineChars="400" w:firstLine="960"/>
              <w:jc w:val="right"/>
              <w:rPr>
                <w:rFonts w:asciiTheme="minorHAnsi" w:hAnsiTheme="minorHAnsi" w:cstheme="minorHAnsi"/>
                <w:color w:val="000000"/>
                <w:lang w:val="en-GB"/>
              </w:rPr>
            </w:pPr>
            <w:r w:rsidRPr="00B54678">
              <w:rPr>
                <w:rFonts w:asciiTheme="minorHAnsi" w:hAnsiTheme="minorHAnsi" w:cstheme="minorHAnsi"/>
                <w:color w:val="000000"/>
                <w:lang w:val="en-GB"/>
              </w:rPr>
              <w:t>0</w:t>
            </w:r>
          </w:p>
        </w:tc>
        <w:tc>
          <w:tcPr>
            <w:tcW w:w="1266" w:type="pct"/>
            <w:tcBorders>
              <w:top w:val="single" w:sz="4" w:space="0" w:color="auto"/>
              <w:left w:val="single" w:sz="4" w:space="0" w:color="auto"/>
              <w:bottom w:val="single" w:sz="4" w:space="0" w:color="auto"/>
              <w:right w:val="single" w:sz="4" w:space="0" w:color="auto"/>
            </w:tcBorders>
            <w:shd w:val="clear" w:color="000000" w:fill="DAEEF3"/>
            <w:noWrap/>
            <w:vAlign w:val="center"/>
          </w:tcPr>
          <w:p w14:paraId="7A75F9E7" w14:textId="77777777" w:rsidR="00A04D50" w:rsidRPr="00B54678" w:rsidRDefault="00A04D50" w:rsidP="00BC3565">
            <w:pPr>
              <w:ind w:firstLineChars="400" w:firstLine="960"/>
              <w:jc w:val="right"/>
              <w:rPr>
                <w:rFonts w:asciiTheme="minorHAnsi" w:hAnsiTheme="minorHAnsi" w:cstheme="minorHAnsi"/>
                <w:lang w:val="en-GB"/>
              </w:rPr>
            </w:pPr>
            <w:r w:rsidRPr="00B54678">
              <w:rPr>
                <w:rFonts w:asciiTheme="minorHAnsi" w:hAnsiTheme="minorHAnsi" w:cstheme="minorHAnsi"/>
                <w:lang w:val="en-GB"/>
              </w:rPr>
              <w:t>0</w:t>
            </w:r>
          </w:p>
        </w:tc>
        <w:tc>
          <w:tcPr>
            <w:tcW w:w="854" w:type="pct"/>
            <w:tcBorders>
              <w:top w:val="nil"/>
              <w:left w:val="single" w:sz="4" w:space="0" w:color="auto"/>
              <w:bottom w:val="single" w:sz="4" w:space="0" w:color="auto"/>
              <w:right w:val="single" w:sz="8" w:space="0" w:color="auto"/>
            </w:tcBorders>
            <w:shd w:val="clear" w:color="000000" w:fill="DAEEF3"/>
            <w:noWrap/>
            <w:vAlign w:val="center"/>
            <w:hideMark/>
          </w:tcPr>
          <w:p w14:paraId="1B010436" w14:textId="77777777" w:rsidR="00A04D50" w:rsidRPr="00B54678" w:rsidRDefault="00A04D50" w:rsidP="00BC3565">
            <w:pPr>
              <w:ind w:firstLineChars="400" w:firstLine="960"/>
              <w:jc w:val="right"/>
              <w:rPr>
                <w:rFonts w:asciiTheme="minorHAnsi" w:hAnsiTheme="minorHAnsi" w:cstheme="minorHAnsi"/>
                <w:lang w:val="en-GB"/>
              </w:rPr>
            </w:pPr>
            <w:r w:rsidRPr="00B54678">
              <w:rPr>
                <w:rFonts w:asciiTheme="minorHAnsi" w:hAnsiTheme="minorHAnsi" w:cstheme="minorHAnsi"/>
                <w:lang w:val="en-GB"/>
              </w:rPr>
              <w:t>0%</w:t>
            </w:r>
          </w:p>
        </w:tc>
      </w:tr>
      <w:tr w:rsidR="00310F69" w:rsidRPr="00B54678" w14:paraId="12B7216E" w14:textId="77777777" w:rsidTr="00310F69">
        <w:trPr>
          <w:trHeight w:val="300"/>
        </w:trPr>
        <w:tc>
          <w:tcPr>
            <w:tcW w:w="1958" w:type="pct"/>
            <w:tcBorders>
              <w:top w:val="nil"/>
              <w:left w:val="single" w:sz="8" w:space="0" w:color="auto"/>
              <w:bottom w:val="single" w:sz="4" w:space="0" w:color="auto"/>
              <w:right w:val="single" w:sz="4" w:space="0" w:color="auto"/>
            </w:tcBorders>
            <w:shd w:val="clear" w:color="000000" w:fill="DCE6F1"/>
            <w:noWrap/>
            <w:vAlign w:val="center"/>
            <w:hideMark/>
          </w:tcPr>
          <w:p w14:paraId="7B2F22F8" w14:textId="5355D72B" w:rsidR="00A04D50" w:rsidRPr="00B54678" w:rsidRDefault="00A04D50" w:rsidP="00310F69">
            <w:pPr>
              <w:rPr>
                <w:rFonts w:asciiTheme="minorHAnsi" w:hAnsiTheme="minorHAnsi" w:cstheme="minorHAnsi"/>
                <w:color w:val="000000"/>
                <w:lang w:val="en-GB"/>
              </w:rPr>
            </w:pPr>
            <w:r w:rsidRPr="00B54678">
              <w:rPr>
                <w:rFonts w:asciiTheme="minorHAnsi" w:hAnsiTheme="minorHAnsi" w:cstheme="minorHAnsi"/>
                <w:color w:val="000000"/>
                <w:lang w:val="en-GB"/>
              </w:rPr>
              <w:t>Plzeňský a</w:t>
            </w:r>
            <w:r w:rsidR="00310F69" w:rsidRPr="00B54678">
              <w:rPr>
                <w:rFonts w:asciiTheme="minorHAnsi" w:hAnsiTheme="minorHAnsi" w:cstheme="minorHAnsi"/>
                <w:color w:val="000000"/>
                <w:lang w:val="en-GB"/>
              </w:rPr>
              <w:t>nd</w:t>
            </w:r>
            <w:r w:rsidRPr="00B54678">
              <w:rPr>
                <w:rFonts w:asciiTheme="minorHAnsi" w:hAnsiTheme="minorHAnsi" w:cstheme="minorHAnsi"/>
                <w:color w:val="000000"/>
                <w:lang w:val="en-GB"/>
              </w:rPr>
              <w:t xml:space="preserve"> Karlovarský</w:t>
            </w:r>
          </w:p>
        </w:tc>
        <w:tc>
          <w:tcPr>
            <w:tcW w:w="922" w:type="pct"/>
            <w:tcBorders>
              <w:top w:val="single" w:sz="4" w:space="0" w:color="auto"/>
              <w:left w:val="nil"/>
              <w:bottom w:val="single" w:sz="4" w:space="0" w:color="auto"/>
              <w:right w:val="single" w:sz="4" w:space="0" w:color="auto"/>
            </w:tcBorders>
            <w:shd w:val="clear" w:color="000000" w:fill="DCE6F1"/>
            <w:noWrap/>
            <w:vAlign w:val="center"/>
          </w:tcPr>
          <w:p w14:paraId="5A5D7ADB" w14:textId="77777777" w:rsidR="00A04D50" w:rsidRPr="00B54678" w:rsidRDefault="00A04D50" w:rsidP="00BC3565">
            <w:pPr>
              <w:ind w:firstLineChars="400" w:firstLine="960"/>
              <w:jc w:val="right"/>
              <w:rPr>
                <w:rFonts w:asciiTheme="minorHAnsi" w:hAnsiTheme="minorHAnsi" w:cstheme="minorHAnsi"/>
                <w:color w:val="000000"/>
                <w:lang w:val="en-GB"/>
              </w:rPr>
            </w:pPr>
            <w:r w:rsidRPr="00B54678">
              <w:rPr>
                <w:rFonts w:asciiTheme="minorHAnsi" w:hAnsiTheme="minorHAnsi" w:cstheme="minorHAnsi"/>
                <w:color w:val="000000"/>
                <w:lang w:val="en-GB"/>
              </w:rPr>
              <w:t>3</w:t>
            </w:r>
          </w:p>
        </w:tc>
        <w:tc>
          <w:tcPr>
            <w:tcW w:w="1266" w:type="pct"/>
            <w:tcBorders>
              <w:top w:val="single" w:sz="4" w:space="0" w:color="auto"/>
              <w:left w:val="single" w:sz="4" w:space="0" w:color="auto"/>
              <w:bottom w:val="single" w:sz="4" w:space="0" w:color="auto"/>
              <w:right w:val="single" w:sz="4" w:space="0" w:color="auto"/>
            </w:tcBorders>
            <w:shd w:val="clear" w:color="000000" w:fill="DCE6F1"/>
            <w:noWrap/>
            <w:vAlign w:val="center"/>
          </w:tcPr>
          <w:p w14:paraId="4F3EF9A7" w14:textId="77777777" w:rsidR="00A04D50" w:rsidRPr="00B54678" w:rsidRDefault="00A04D50" w:rsidP="00BC3565">
            <w:pPr>
              <w:ind w:firstLineChars="400" w:firstLine="960"/>
              <w:jc w:val="right"/>
              <w:rPr>
                <w:rFonts w:asciiTheme="minorHAnsi" w:hAnsiTheme="minorHAnsi" w:cstheme="minorHAnsi"/>
                <w:lang w:val="en-GB"/>
              </w:rPr>
            </w:pPr>
            <w:r w:rsidRPr="00B54678">
              <w:rPr>
                <w:rFonts w:asciiTheme="minorHAnsi" w:hAnsiTheme="minorHAnsi" w:cstheme="minorHAnsi"/>
                <w:lang w:val="en-GB"/>
              </w:rPr>
              <w:t>2</w:t>
            </w:r>
          </w:p>
        </w:tc>
        <w:tc>
          <w:tcPr>
            <w:tcW w:w="854" w:type="pct"/>
            <w:tcBorders>
              <w:top w:val="nil"/>
              <w:left w:val="single" w:sz="4" w:space="0" w:color="auto"/>
              <w:bottom w:val="single" w:sz="4" w:space="0" w:color="auto"/>
              <w:right w:val="single" w:sz="8" w:space="0" w:color="auto"/>
            </w:tcBorders>
            <w:shd w:val="clear" w:color="000000" w:fill="DCE6F1"/>
            <w:noWrap/>
            <w:vAlign w:val="center"/>
            <w:hideMark/>
          </w:tcPr>
          <w:p w14:paraId="3DFC4A31" w14:textId="44F07121" w:rsidR="00A04D50" w:rsidRPr="00B54678" w:rsidRDefault="00310F69" w:rsidP="00BC3565">
            <w:pPr>
              <w:ind w:firstLineChars="400" w:firstLine="960"/>
              <w:jc w:val="right"/>
              <w:rPr>
                <w:rFonts w:asciiTheme="minorHAnsi" w:hAnsiTheme="minorHAnsi" w:cstheme="minorHAnsi"/>
                <w:lang w:val="en-GB"/>
              </w:rPr>
            </w:pPr>
            <w:r w:rsidRPr="00B54678">
              <w:rPr>
                <w:rFonts w:asciiTheme="minorHAnsi" w:hAnsiTheme="minorHAnsi" w:cstheme="minorHAnsi"/>
                <w:lang w:val="en-GB"/>
              </w:rPr>
              <w:t>66.</w:t>
            </w:r>
            <w:r w:rsidR="00A04D50" w:rsidRPr="00B54678">
              <w:rPr>
                <w:rFonts w:asciiTheme="minorHAnsi" w:hAnsiTheme="minorHAnsi" w:cstheme="minorHAnsi"/>
                <w:lang w:val="en-GB"/>
              </w:rPr>
              <w:t>7%</w:t>
            </w:r>
          </w:p>
        </w:tc>
      </w:tr>
      <w:tr w:rsidR="00310F69" w:rsidRPr="00B54678" w14:paraId="2A3DAAB2" w14:textId="77777777" w:rsidTr="00310F69">
        <w:trPr>
          <w:trHeight w:val="300"/>
        </w:trPr>
        <w:tc>
          <w:tcPr>
            <w:tcW w:w="1958" w:type="pct"/>
            <w:tcBorders>
              <w:top w:val="nil"/>
              <w:left w:val="single" w:sz="8" w:space="0" w:color="auto"/>
              <w:bottom w:val="single" w:sz="4" w:space="0" w:color="auto"/>
              <w:right w:val="single" w:sz="4" w:space="0" w:color="auto"/>
            </w:tcBorders>
            <w:shd w:val="clear" w:color="000000" w:fill="DAEEF3"/>
            <w:noWrap/>
            <w:vAlign w:val="center"/>
            <w:hideMark/>
          </w:tcPr>
          <w:p w14:paraId="168A3475" w14:textId="0976FF99" w:rsidR="00A04D50" w:rsidRPr="00B54678" w:rsidRDefault="00A04D50" w:rsidP="00310F69">
            <w:pPr>
              <w:rPr>
                <w:rFonts w:asciiTheme="minorHAnsi" w:hAnsiTheme="minorHAnsi" w:cstheme="minorHAnsi"/>
                <w:color w:val="000000"/>
                <w:lang w:val="en-GB"/>
              </w:rPr>
            </w:pPr>
            <w:r w:rsidRPr="00B54678">
              <w:rPr>
                <w:rFonts w:asciiTheme="minorHAnsi" w:hAnsiTheme="minorHAnsi" w:cstheme="minorHAnsi"/>
                <w:color w:val="000000"/>
                <w:lang w:val="en-GB"/>
              </w:rPr>
              <w:t>Ústecký a</w:t>
            </w:r>
            <w:r w:rsidR="00310F69" w:rsidRPr="00B54678">
              <w:rPr>
                <w:rFonts w:asciiTheme="minorHAnsi" w:hAnsiTheme="minorHAnsi" w:cstheme="minorHAnsi"/>
                <w:color w:val="000000"/>
                <w:lang w:val="en-GB"/>
              </w:rPr>
              <w:t>nd</w:t>
            </w:r>
            <w:r w:rsidRPr="00B54678">
              <w:rPr>
                <w:rFonts w:asciiTheme="minorHAnsi" w:hAnsiTheme="minorHAnsi" w:cstheme="minorHAnsi"/>
                <w:color w:val="000000"/>
                <w:lang w:val="en-GB"/>
              </w:rPr>
              <w:t xml:space="preserve"> Liberecký</w:t>
            </w:r>
          </w:p>
        </w:tc>
        <w:tc>
          <w:tcPr>
            <w:tcW w:w="922" w:type="pct"/>
            <w:tcBorders>
              <w:top w:val="single" w:sz="4" w:space="0" w:color="auto"/>
              <w:left w:val="nil"/>
              <w:bottom w:val="single" w:sz="4" w:space="0" w:color="auto"/>
              <w:right w:val="single" w:sz="4" w:space="0" w:color="auto"/>
            </w:tcBorders>
            <w:shd w:val="clear" w:color="000000" w:fill="DAEEF3"/>
            <w:noWrap/>
            <w:vAlign w:val="center"/>
          </w:tcPr>
          <w:p w14:paraId="4F0B2885" w14:textId="77777777" w:rsidR="00A04D50" w:rsidRPr="00B54678" w:rsidRDefault="00A04D50" w:rsidP="00BC3565">
            <w:pPr>
              <w:ind w:firstLineChars="400" w:firstLine="960"/>
              <w:jc w:val="right"/>
              <w:rPr>
                <w:rFonts w:asciiTheme="minorHAnsi" w:hAnsiTheme="minorHAnsi" w:cstheme="minorHAnsi"/>
                <w:color w:val="000000"/>
                <w:lang w:val="en-GB"/>
              </w:rPr>
            </w:pPr>
            <w:r w:rsidRPr="00B54678">
              <w:rPr>
                <w:rFonts w:asciiTheme="minorHAnsi" w:hAnsiTheme="minorHAnsi" w:cstheme="minorHAnsi"/>
                <w:color w:val="000000"/>
                <w:lang w:val="en-GB"/>
              </w:rPr>
              <w:t>1</w:t>
            </w:r>
          </w:p>
        </w:tc>
        <w:tc>
          <w:tcPr>
            <w:tcW w:w="1266" w:type="pct"/>
            <w:tcBorders>
              <w:top w:val="single" w:sz="4" w:space="0" w:color="auto"/>
              <w:left w:val="single" w:sz="4" w:space="0" w:color="auto"/>
              <w:bottom w:val="single" w:sz="4" w:space="0" w:color="auto"/>
              <w:right w:val="single" w:sz="4" w:space="0" w:color="auto"/>
            </w:tcBorders>
            <w:shd w:val="clear" w:color="000000" w:fill="DAEEF3"/>
            <w:noWrap/>
            <w:vAlign w:val="center"/>
          </w:tcPr>
          <w:p w14:paraId="7A1E631C" w14:textId="77777777" w:rsidR="00A04D50" w:rsidRPr="00B54678" w:rsidRDefault="00A04D50" w:rsidP="00BC3565">
            <w:pPr>
              <w:ind w:firstLineChars="400" w:firstLine="960"/>
              <w:jc w:val="right"/>
              <w:rPr>
                <w:rFonts w:asciiTheme="minorHAnsi" w:hAnsiTheme="minorHAnsi" w:cstheme="minorHAnsi"/>
                <w:lang w:val="en-GB"/>
              </w:rPr>
            </w:pPr>
            <w:r w:rsidRPr="00B54678">
              <w:rPr>
                <w:rFonts w:asciiTheme="minorHAnsi" w:hAnsiTheme="minorHAnsi" w:cstheme="minorHAnsi"/>
                <w:lang w:val="en-GB"/>
              </w:rPr>
              <w:t>1</w:t>
            </w:r>
          </w:p>
        </w:tc>
        <w:tc>
          <w:tcPr>
            <w:tcW w:w="854" w:type="pct"/>
            <w:tcBorders>
              <w:top w:val="nil"/>
              <w:left w:val="single" w:sz="4" w:space="0" w:color="auto"/>
              <w:bottom w:val="single" w:sz="4" w:space="0" w:color="auto"/>
              <w:right w:val="single" w:sz="8" w:space="0" w:color="auto"/>
            </w:tcBorders>
            <w:shd w:val="clear" w:color="000000" w:fill="DAEEF3"/>
            <w:noWrap/>
            <w:vAlign w:val="center"/>
            <w:hideMark/>
          </w:tcPr>
          <w:p w14:paraId="7ACD1F7B" w14:textId="77777777" w:rsidR="00A04D50" w:rsidRPr="00B54678" w:rsidRDefault="00A04D50" w:rsidP="00BC3565">
            <w:pPr>
              <w:ind w:firstLineChars="400" w:firstLine="960"/>
              <w:jc w:val="right"/>
              <w:rPr>
                <w:rFonts w:asciiTheme="minorHAnsi" w:hAnsiTheme="minorHAnsi" w:cstheme="minorHAnsi"/>
                <w:lang w:val="en-GB"/>
              </w:rPr>
            </w:pPr>
            <w:r w:rsidRPr="00B54678">
              <w:rPr>
                <w:rFonts w:asciiTheme="minorHAnsi" w:hAnsiTheme="minorHAnsi" w:cstheme="minorHAnsi"/>
                <w:lang w:val="en-GB"/>
              </w:rPr>
              <w:t>100%</w:t>
            </w:r>
          </w:p>
        </w:tc>
      </w:tr>
      <w:tr w:rsidR="00310F69" w:rsidRPr="00B54678" w14:paraId="32AE1882" w14:textId="77777777" w:rsidTr="00310F69">
        <w:trPr>
          <w:trHeight w:val="300"/>
        </w:trPr>
        <w:tc>
          <w:tcPr>
            <w:tcW w:w="1958" w:type="pct"/>
            <w:tcBorders>
              <w:top w:val="nil"/>
              <w:left w:val="single" w:sz="8" w:space="0" w:color="auto"/>
              <w:bottom w:val="single" w:sz="4" w:space="0" w:color="auto"/>
              <w:right w:val="single" w:sz="4" w:space="0" w:color="auto"/>
            </w:tcBorders>
            <w:shd w:val="clear" w:color="000000" w:fill="DCE6F1"/>
            <w:noWrap/>
            <w:vAlign w:val="center"/>
            <w:hideMark/>
          </w:tcPr>
          <w:p w14:paraId="1ACA2FA1" w14:textId="4A8F2582" w:rsidR="00A04D50" w:rsidRPr="00B54678" w:rsidRDefault="00A04D50" w:rsidP="00310F69">
            <w:pPr>
              <w:rPr>
                <w:rFonts w:asciiTheme="minorHAnsi" w:hAnsiTheme="minorHAnsi" w:cstheme="minorHAnsi"/>
                <w:color w:val="000000"/>
                <w:lang w:val="en-GB"/>
              </w:rPr>
            </w:pPr>
            <w:r w:rsidRPr="00B54678">
              <w:rPr>
                <w:rFonts w:asciiTheme="minorHAnsi" w:hAnsiTheme="minorHAnsi" w:cstheme="minorHAnsi"/>
                <w:color w:val="000000"/>
                <w:lang w:val="en-GB"/>
              </w:rPr>
              <w:t>Královéhradecký a</w:t>
            </w:r>
            <w:r w:rsidR="00310F69" w:rsidRPr="00B54678">
              <w:rPr>
                <w:rFonts w:asciiTheme="minorHAnsi" w:hAnsiTheme="minorHAnsi" w:cstheme="minorHAnsi"/>
                <w:color w:val="000000"/>
                <w:lang w:val="en-GB"/>
              </w:rPr>
              <w:t>nd</w:t>
            </w:r>
            <w:r w:rsidRPr="00B54678">
              <w:rPr>
                <w:rFonts w:asciiTheme="minorHAnsi" w:hAnsiTheme="minorHAnsi" w:cstheme="minorHAnsi"/>
                <w:color w:val="000000"/>
                <w:lang w:val="en-GB"/>
              </w:rPr>
              <w:t xml:space="preserve"> Pardubický</w:t>
            </w:r>
          </w:p>
        </w:tc>
        <w:tc>
          <w:tcPr>
            <w:tcW w:w="922" w:type="pct"/>
            <w:tcBorders>
              <w:top w:val="single" w:sz="4" w:space="0" w:color="auto"/>
              <w:left w:val="nil"/>
              <w:bottom w:val="single" w:sz="4" w:space="0" w:color="auto"/>
              <w:right w:val="single" w:sz="4" w:space="0" w:color="auto"/>
            </w:tcBorders>
            <w:shd w:val="clear" w:color="000000" w:fill="DCE6F1"/>
            <w:noWrap/>
            <w:vAlign w:val="center"/>
          </w:tcPr>
          <w:p w14:paraId="5991F978" w14:textId="77777777" w:rsidR="00A04D50" w:rsidRPr="00B54678" w:rsidRDefault="00A04D50" w:rsidP="00BC3565">
            <w:pPr>
              <w:ind w:firstLineChars="400" w:firstLine="960"/>
              <w:jc w:val="right"/>
              <w:rPr>
                <w:rFonts w:asciiTheme="minorHAnsi" w:hAnsiTheme="minorHAnsi" w:cstheme="minorHAnsi"/>
                <w:color w:val="000000"/>
                <w:lang w:val="en-GB"/>
              </w:rPr>
            </w:pPr>
            <w:r w:rsidRPr="00B54678">
              <w:rPr>
                <w:rFonts w:asciiTheme="minorHAnsi" w:hAnsiTheme="minorHAnsi" w:cstheme="minorHAnsi"/>
                <w:color w:val="000000"/>
                <w:lang w:val="en-GB"/>
              </w:rPr>
              <w:t>1</w:t>
            </w:r>
          </w:p>
        </w:tc>
        <w:tc>
          <w:tcPr>
            <w:tcW w:w="1266" w:type="pct"/>
            <w:tcBorders>
              <w:top w:val="single" w:sz="4" w:space="0" w:color="auto"/>
              <w:left w:val="single" w:sz="4" w:space="0" w:color="auto"/>
              <w:bottom w:val="single" w:sz="4" w:space="0" w:color="auto"/>
              <w:right w:val="single" w:sz="4" w:space="0" w:color="auto"/>
            </w:tcBorders>
            <w:shd w:val="clear" w:color="000000" w:fill="DCE6F1"/>
            <w:noWrap/>
            <w:vAlign w:val="center"/>
          </w:tcPr>
          <w:p w14:paraId="501C6375" w14:textId="77777777" w:rsidR="00A04D50" w:rsidRPr="00B54678" w:rsidRDefault="00A04D50" w:rsidP="00BC3565">
            <w:pPr>
              <w:ind w:firstLineChars="400" w:firstLine="960"/>
              <w:jc w:val="right"/>
              <w:rPr>
                <w:rFonts w:asciiTheme="minorHAnsi" w:hAnsiTheme="minorHAnsi" w:cstheme="minorHAnsi"/>
                <w:lang w:val="en-GB"/>
              </w:rPr>
            </w:pPr>
            <w:r w:rsidRPr="00B54678">
              <w:rPr>
                <w:rFonts w:asciiTheme="minorHAnsi" w:hAnsiTheme="minorHAnsi" w:cstheme="minorHAnsi"/>
                <w:lang w:val="en-GB"/>
              </w:rPr>
              <w:t>1</w:t>
            </w:r>
          </w:p>
        </w:tc>
        <w:tc>
          <w:tcPr>
            <w:tcW w:w="854" w:type="pct"/>
            <w:tcBorders>
              <w:top w:val="nil"/>
              <w:left w:val="single" w:sz="4" w:space="0" w:color="auto"/>
              <w:bottom w:val="single" w:sz="4" w:space="0" w:color="auto"/>
              <w:right w:val="single" w:sz="8" w:space="0" w:color="auto"/>
            </w:tcBorders>
            <w:shd w:val="clear" w:color="000000" w:fill="DCE6F1"/>
            <w:noWrap/>
            <w:vAlign w:val="center"/>
            <w:hideMark/>
          </w:tcPr>
          <w:p w14:paraId="6C206ACD" w14:textId="77777777" w:rsidR="00A04D50" w:rsidRPr="00B54678" w:rsidRDefault="00A04D50" w:rsidP="00BC3565">
            <w:pPr>
              <w:ind w:firstLineChars="400" w:firstLine="960"/>
              <w:jc w:val="right"/>
              <w:rPr>
                <w:rFonts w:asciiTheme="minorHAnsi" w:hAnsiTheme="minorHAnsi" w:cstheme="minorHAnsi"/>
                <w:lang w:val="en-GB"/>
              </w:rPr>
            </w:pPr>
            <w:r w:rsidRPr="00B54678">
              <w:rPr>
                <w:rFonts w:asciiTheme="minorHAnsi" w:hAnsiTheme="minorHAnsi" w:cstheme="minorHAnsi"/>
                <w:lang w:val="en-GB"/>
              </w:rPr>
              <w:t>100%</w:t>
            </w:r>
          </w:p>
        </w:tc>
      </w:tr>
      <w:tr w:rsidR="00310F69" w:rsidRPr="00B54678" w14:paraId="1AD1DD25" w14:textId="77777777" w:rsidTr="00310F69">
        <w:trPr>
          <w:trHeight w:val="300"/>
        </w:trPr>
        <w:tc>
          <w:tcPr>
            <w:tcW w:w="1958" w:type="pct"/>
            <w:tcBorders>
              <w:top w:val="nil"/>
              <w:left w:val="single" w:sz="8" w:space="0" w:color="auto"/>
              <w:bottom w:val="single" w:sz="4" w:space="0" w:color="auto"/>
              <w:right w:val="single" w:sz="4" w:space="0" w:color="auto"/>
            </w:tcBorders>
            <w:shd w:val="clear" w:color="000000" w:fill="DAEEF3"/>
            <w:noWrap/>
            <w:vAlign w:val="center"/>
            <w:hideMark/>
          </w:tcPr>
          <w:p w14:paraId="5BEF0B91" w14:textId="17EA574A" w:rsidR="00A04D50" w:rsidRPr="00B54678" w:rsidRDefault="00A04D50" w:rsidP="00310F69">
            <w:pPr>
              <w:rPr>
                <w:rFonts w:asciiTheme="minorHAnsi" w:hAnsiTheme="minorHAnsi" w:cstheme="minorHAnsi"/>
                <w:color w:val="000000"/>
                <w:lang w:val="en-GB"/>
              </w:rPr>
            </w:pPr>
            <w:r w:rsidRPr="00B54678">
              <w:rPr>
                <w:rFonts w:asciiTheme="minorHAnsi" w:hAnsiTheme="minorHAnsi" w:cstheme="minorHAnsi"/>
                <w:color w:val="000000"/>
                <w:lang w:val="en-GB"/>
              </w:rPr>
              <w:t>Jihomoravský a</w:t>
            </w:r>
            <w:r w:rsidR="00310F69" w:rsidRPr="00B54678">
              <w:rPr>
                <w:rFonts w:asciiTheme="minorHAnsi" w:hAnsiTheme="minorHAnsi" w:cstheme="minorHAnsi"/>
                <w:color w:val="000000"/>
                <w:lang w:val="en-GB"/>
              </w:rPr>
              <w:t>nd</w:t>
            </w:r>
            <w:r w:rsidRPr="00B54678">
              <w:rPr>
                <w:rFonts w:asciiTheme="minorHAnsi" w:hAnsiTheme="minorHAnsi" w:cstheme="minorHAnsi"/>
                <w:color w:val="000000"/>
                <w:lang w:val="en-GB"/>
              </w:rPr>
              <w:t xml:space="preserve"> Zlínský</w:t>
            </w:r>
          </w:p>
        </w:tc>
        <w:tc>
          <w:tcPr>
            <w:tcW w:w="922" w:type="pct"/>
            <w:tcBorders>
              <w:top w:val="single" w:sz="4" w:space="0" w:color="auto"/>
              <w:left w:val="nil"/>
              <w:bottom w:val="single" w:sz="4" w:space="0" w:color="auto"/>
              <w:right w:val="single" w:sz="4" w:space="0" w:color="auto"/>
            </w:tcBorders>
            <w:shd w:val="clear" w:color="000000" w:fill="DAEEF3"/>
            <w:noWrap/>
            <w:vAlign w:val="center"/>
          </w:tcPr>
          <w:p w14:paraId="7C9B996E" w14:textId="77777777" w:rsidR="00A04D50" w:rsidRPr="00B54678" w:rsidRDefault="00A04D50" w:rsidP="00BC3565">
            <w:pPr>
              <w:ind w:firstLineChars="400" w:firstLine="960"/>
              <w:jc w:val="right"/>
              <w:rPr>
                <w:rFonts w:asciiTheme="minorHAnsi" w:hAnsiTheme="minorHAnsi" w:cstheme="minorHAnsi"/>
                <w:color w:val="000000"/>
                <w:lang w:val="en-GB"/>
              </w:rPr>
            </w:pPr>
            <w:r w:rsidRPr="00B54678">
              <w:rPr>
                <w:rFonts w:asciiTheme="minorHAnsi" w:hAnsiTheme="minorHAnsi" w:cstheme="minorHAnsi"/>
                <w:color w:val="000000"/>
                <w:lang w:val="en-GB"/>
              </w:rPr>
              <w:t>1</w:t>
            </w:r>
          </w:p>
        </w:tc>
        <w:tc>
          <w:tcPr>
            <w:tcW w:w="1266" w:type="pct"/>
            <w:tcBorders>
              <w:top w:val="single" w:sz="4" w:space="0" w:color="auto"/>
              <w:left w:val="single" w:sz="4" w:space="0" w:color="auto"/>
              <w:bottom w:val="single" w:sz="4" w:space="0" w:color="auto"/>
              <w:right w:val="single" w:sz="4" w:space="0" w:color="auto"/>
            </w:tcBorders>
            <w:shd w:val="clear" w:color="000000" w:fill="DAEEF3"/>
            <w:noWrap/>
            <w:vAlign w:val="center"/>
          </w:tcPr>
          <w:p w14:paraId="785A1668" w14:textId="77777777" w:rsidR="00A04D50" w:rsidRPr="00B54678" w:rsidRDefault="00A04D50" w:rsidP="00BC3565">
            <w:pPr>
              <w:ind w:firstLineChars="400" w:firstLine="960"/>
              <w:jc w:val="right"/>
              <w:rPr>
                <w:rFonts w:asciiTheme="minorHAnsi" w:hAnsiTheme="minorHAnsi" w:cstheme="minorHAnsi"/>
                <w:lang w:val="en-GB"/>
              </w:rPr>
            </w:pPr>
            <w:r w:rsidRPr="00B54678">
              <w:rPr>
                <w:rFonts w:asciiTheme="minorHAnsi" w:hAnsiTheme="minorHAnsi" w:cstheme="minorHAnsi"/>
                <w:lang w:val="en-GB"/>
              </w:rPr>
              <w:t>1</w:t>
            </w:r>
          </w:p>
        </w:tc>
        <w:tc>
          <w:tcPr>
            <w:tcW w:w="854" w:type="pct"/>
            <w:tcBorders>
              <w:top w:val="nil"/>
              <w:left w:val="single" w:sz="4" w:space="0" w:color="auto"/>
              <w:bottom w:val="single" w:sz="4" w:space="0" w:color="auto"/>
              <w:right w:val="single" w:sz="8" w:space="0" w:color="auto"/>
            </w:tcBorders>
            <w:shd w:val="clear" w:color="000000" w:fill="DAEEF3"/>
            <w:noWrap/>
            <w:vAlign w:val="center"/>
          </w:tcPr>
          <w:p w14:paraId="331A80F4" w14:textId="77777777" w:rsidR="00A04D50" w:rsidRPr="00B54678" w:rsidRDefault="00A04D50" w:rsidP="00BC3565">
            <w:pPr>
              <w:ind w:firstLineChars="400" w:firstLine="960"/>
              <w:jc w:val="right"/>
              <w:rPr>
                <w:rFonts w:asciiTheme="minorHAnsi" w:hAnsiTheme="minorHAnsi" w:cstheme="minorHAnsi"/>
                <w:lang w:val="en-GB"/>
              </w:rPr>
            </w:pPr>
            <w:r w:rsidRPr="00B54678">
              <w:rPr>
                <w:rFonts w:asciiTheme="minorHAnsi" w:hAnsiTheme="minorHAnsi" w:cstheme="minorHAnsi"/>
                <w:lang w:val="en-GB"/>
              </w:rPr>
              <w:t>100%</w:t>
            </w:r>
          </w:p>
        </w:tc>
      </w:tr>
      <w:tr w:rsidR="00310F69" w:rsidRPr="00B54678" w14:paraId="1F8B62BA" w14:textId="77777777" w:rsidTr="00310F69">
        <w:trPr>
          <w:trHeight w:val="315"/>
        </w:trPr>
        <w:tc>
          <w:tcPr>
            <w:tcW w:w="1958" w:type="pct"/>
            <w:tcBorders>
              <w:top w:val="nil"/>
              <w:left w:val="single" w:sz="8" w:space="0" w:color="auto"/>
              <w:bottom w:val="single" w:sz="8" w:space="0" w:color="auto"/>
              <w:right w:val="single" w:sz="4" w:space="0" w:color="auto"/>
            </w:tcBorders>
            <w:shd w:val="clear" w:color="000000" w:fill="DCE6F1"/>
            <w:noWrap/>
            <w:vAlign w:val="center"/>
            <w:hideMark/>
          </w:tcPr>
          <w:p w14:paraId="001D9961" w14:textId="77777777" w:rsidR="00A04D50" w:rsidRPr="00B54678" w:rsidRDefault="00A04D50" w:rsidP="00310F69">
            <w:pPr>
              <w:rPr>
                <w:rFonts w:asciiTheme="minorHAnsi" w:hAnsiTheme="minorHAnsi" w:cstheme="minorHAnsi"/>
                <w:color w:val="000000"/>
                <w:lang w:val="en-GB"/>
              </w:rPr>
            </w:pPr>
            <w:r w:rsidRPr="00B54678">
              <w:rPr>
                <w:rFonts w:asciiTheme="minorHAnsi" w:hAnsiTheme="minorHAnsi" w:cstheme="minorHAnsi"/>
                <w:color w:val="000000"/>
                <w:lang w:val="en-GB"/>
              </w:rPr>
              <w:t>Olomoucký a Moravskoslezský</w:t>
            </w:r>
          </w:p>
        </w:tc>
        <w:tc>
          <w:tcPr>
            <w:tcW w:w="922" w:type="pct"/>
            <w:tcBorders>
              <w:top w:val="single" w:sz="4" w:space="0" w:color="auto"/>
              <w:left w:val="nil"/>
              <w:bottom w:val="single" w:sz="8" w:space="0" w:color="auto"/>
              <w:right w:val="single" w:sz="4" w:space="0" w:color="auto"/>
            </w:tcBorders>
            <w:shd w:val="clear" w:color="000000" w:fill="DCE6F1"/>
            <w:noWrap/>
            <w:vAlign w:val="center"/>
          </w:tcPr>
          <w:p w14:paraId="0A91D5EA" w14:textId="77777777" w:rsidR="00A04D50" w:rsidRPr="00B54678" w:rsidRDefault="00A04D50" w:rsidP="00BC3565">
            <w:pPr>
              <w:ind w:firstLineChars="400" w:firstLine="960"/>
              <w:jc w:val="right"/>
              <w:rPr>
                <w:rFonts w:asciiTheme="minorHAnsi" w:hAnsiTheme="minorHAnsi" w:cstheme="minorHAnsi"/>
                <w:color w:val="000000"/>
                <w:lang w:val="en-GB"/>
              </w:rPr>
            </w:pPr>
            <w:r w:rsidRPr="00B54678">
              <w:rPr>
                <w:rFonts w:asciiTheme="minorHAnsi" w:hAnsiTheme="minorHAnsi" w:cstheme="minorHAnsi"/>
                <w:color w:val="000000"/>
                <w:lang w:val="en-GB"/>
              </w:rPr>
              <w:t>0</w:t>
            </w:r>
          </w:p>
        </w:tc>
        <w:tc>
          <w:tcPr>
            <w:tcW w:w="1266" w:type="pct"/>
            <w:tcBorders>
              <w:top w:val="single" w:sz="4" w:space="0" w:color="auto"/>
              <w:left w:val="single" w:sz="4" w:space="0" w:color="auto"/>
              <w:bottom w:val="single" w:sz="8" w:space="0" w:color="auto"/>
              <w:right w:val="single" w:sz="4" w:space="0" w:color="auto"/>
            </w:tcBorders>
            <w:shd w:val="clear" w:color="000000" w:fill="DCE6F1"/>
            <w:noWrap/>
            <w:vAlign w:val="center"/>
          </w:tcPr>
          <w:p w14:paraId="17C823EA" w14:textId="77777777" w:rsidR="00A04D50" w:rsidRPr="00B54678" w:rsidRDefault="00A04D50" w:rsidP="00BC3565">
            <w:pPr>
              <w:ind w:firstLineChars="400" w:firstLine="960"/>
              <w:jc w:val="right"/>
              <w:rPr>
                <w:rFonts w:asciiTheme="minorHAnsi" w:hAnsiTheme="minorHAnsi" w:cstheme="minorHAnsi"/>
                <w:lang w:val="en-GB"/>
              </w:rPr>
            </w:pPr>
            <w:r w:rsidRPr="00B54678">
              <w:rPr>
                <w:rFonts w:asciiTheme="minorHAnsi" w:hAnsiTheme="minorHAnsi" w:cstheme="minorHAnsi"/>
                <w:lang w:val="en-GB"/>
              </w:rPr>
              <w:t>0</w:t>
            </w:r>
          </w:p>
        </w:tc>
        <w:tc>
          <w:tcPr>
            <w:tcW w:w="854" w:type="pct"/>
            <w:tcBorders>
              <w:top w:val="nil"/>
              <w:left w:val="single" w:sz="4" w:space="0" w:color="auto"/>
              <w:bottom w:val="single" w:sz="8" w:space="0" w:color="auto"/>
              <w:right w:val="single" w:sz="8" w:space="0" w:color="auto"/>
            </w:tcBorders>
            <w:shd w:val="clear" w:color="000000" w:fill="DCE6F1"/>
            <w:noWrap/>
            <w:vAlign w:val="center"/>
          </w:tcPr>
          <w:p w14:paraId="741688CF" w14:textId="77777777" w:rsidR="00A04D50" w:rsidRPr="00B54678" w:rsidRDefault="00A04D50" w:rsidP="00BC3565">
            <w:pPr>
              <w:ind w:firstLineChars="400" w:firstLine="960"/>
              <w:jc w:val="right"/>
              <w:rPr>
                <w:rFonts w:asciiTheme="minorHAnsi" w:hAnsiTheme="minorHAnsi" w:cstheme="minorHAnsi"/>
                <w:lang w:val="en-GB"/>
              </w:rPr>
            </w:pPr>
            <w:r w:rsidRPr="00B54678">
              <w:rPr>
                <w:rFonts w:asciiTheme="minorHAnsi" w:hAnsiTheme="minorHAnsi" w:cstheme="minorHAnsi"/>
                <w:lang w:val="en-GB"/>
              </w:rPr>
              <w:t>0%</w:t>
            </w:r>
          </w:p>
        </w:tc>
      </w:tr>
      <w:tr w:rsidR="00310F69" w:rsidRPr="00B54678" w14:paraId="35CEE63F" w14:textId="77777777" w:rsidTr="00310F69">
        <w:trPr>
          <w:trHeight w:val="390"/>
        </w:trPr>
        <w:tc>
          <w:tcPr>
            <w:tcW w:w="1958" w:type="pct"/>
            <w:tcBorders>
              <w:top w:val="single" w:sz="8" w:space="0" w:color="auto"/>
              <w:left w:val="single" w:sz="8" w:space="0" w:color="auto"/>
              <w:bottom w:val="single" w:sz="8" w:space="0" w:color="auto"/>
              <w:right w:val="single" w:sz="4" w:space="0" w:color="auto"/>
            </w:tcBorders>
            <w:shd w:val="clear" w:color="000000" w:fill="DAEEF3"/>
            <w:noWrap/>
            <w:vAlign w:val="center"/>
            <w:hideMark/>
          </w:tcPr>
          <w:p w14:paraId="41573CA2" w14:textId="3EB8557B" w:rsidR="00A04D50" w:rsidRPr="00B54678" w:rsidRDefault="00310F69" w:rsidP="00310F69">
            <w:pPr>
              <w:rPr>
                <w:rFonts w:asciiTheme="minorHAnsi" w:hAnsiTheme="minorHAnsi" w:cstheme="minorHAnsi"/>
                <w:b/>
                <w:color w:val="000000"/>
                <w:lang w:val="en-GB"/>
              </w:rPr>
            </w:pPr>
            <w:r w:rsidRPr="00B54678">
              <w:rPr>
                <w:rFonts w:asciiTheme="minorHAnsi" w:hAnsiTheme="minorHAnsi" w:cstheme="minorHAnsi"/>
                <w:b/>
                <w:color w:val="000000"/>
                <w:lang w:val="en-GB"/>
              </w:rPr>
              <w:t>Total</w:t>
            </w:r>
          </w:p>
        </w:tc>
        <w:tc>
          <w:tcPr>
            <w:tcW w:w="922" w:type="pct"/>
            <w:tcBorders>
              <w:top w:val="single" w:sz="8" w:space="0" w:color="auto"/>
              <w:left w:val="nil"/>
              <w:bottom w:val="single" w:sz="8" w:space="0" w:color="auto"/>
              <w:right w:val="single" w:sz="4" w:space="0" w:color="auto"/>
            </w:tcBorders>
            <w:shd w:val="clear" w:color="000000" w:fill="DAEEF3"/>
            <w:noWrap/>
            <w:vAlign w:val="center"/>
          </w:tcPr>
          <w:p w14:paraId="4ABDDC22" w14:textId="77777777" w:rsidR="00A04D50" w:rsidRPr="00B54678" w:rsidRDefault="00A04D50" w:rsidP="00BC3565">
            <w:pPr>
              <w:ind w:firstLineChars="400" w:firstLine="960"/>
              <w:jc w:val="right"/>
              <w:rPr>
                <w:rFonts w:asciiTheme="minorHAnsi" w:hAnsiTheme="minorHAnsi" w:cstheme="minorHAnsi"/>
                <w:b/>
                <w:color w:val="000000"/>
                <w:lang w:val="en-GB"/>
              </w:rPr>
            </w:pPr>
            <w:r w:rsidRPr="00B54678">
              <w:rPr>
                <w:rFonts w:asciiTheme="minorHAnsi" w:hAnsiTheme="minorHAnsi" w:cstheme="minorHAnsi"/>
                <w:b/>
                <w:color w:val="000000"/>
                <w:lang w:val="en-GB"/>
              </w:rPr>
              <w:t>39</w:t>
            </w:r>
          </w:p>
        </w:tc>
        <w:tc>
          <w:tcPr>
            <w:tcW w:w="1266" w:type="pct"/>
            <w:tcBorders>
              <w:top w:val="single" w:sz="8" w:space="0" w:color="auto"/>
              <w:left w:val="nil"/>
              <w:bottom w:val="single" w:sz="8" w:space="0" w:color="auto"/>
              <w:right w:val="nil"/>
            </w:tcBorders>
            <w:shd w:val="clear" w:color="000000" w:fill="DAEEF3"/>
            <w:noWrap/>
            <w:vAlign w:val="center"/>
          </w:tcPr>
          <w:p w14:paraId="70B2D08D" w14:textId="77777777" w:rsidR="00A04D50" w:rsidRPr="00B54678" w:rsidRDefault="00A04D50" w:rsidP="00BC3565">
            <w:pPr>
              <w:ind w:firstLineChars="400" w:firstLine="960"/>
              <w:jc w:val="right"/>
              <w:rPr>
                <w:rFonts w:asciiTheme="minorHAnsi" w:hAnsiTheme="minorHAnsi" w:cstheme="minorHAnsi"/>
                <w:b/>
                <w:lang w:val="en-GB"/>
              </w:rPr>
            </w:pPr>
            <w:r w:rsidRPr="00B54678">
              <w:rPr>
                <w:rFonts w:asciiTheme="minorHAnsi" w:hAnsiTheme="minorHAnsi" w:cstheme="minorHAnsi"/>
                <w:b/>
                <w:lang w:val="en-GB"/>
              </w:rPr>
              <w:t>34</w:t>
            </w:r>
          </w:p>
        </w:tc>
        <w:tc>
          <w:tcPr>
            <w:tcW w:w="854" w:type="pct"/>
            <w:tcBorders>
              <w:top w:val="single" w:sz="8" w:space="0" w:color="auto"/>
              <w:left w:val="single" w:sz="4" w:space="0" w:color="auto"/>
              <w:bottom w:val="single" w:sz="8" w:space="0" w:color="auto"/>
              <w:right w:val="single" w:sz="8" w:space="0" w:color="auto"/>
            </w:tcBorders>
            <w:shd w:val="clear" w:color="000000" w:fill="DAEEF3"/>
            <w:noWrap/>
            <w:vAlign w:val="center"/>
          </w:tcPr>
          <w:p w14:paraId="16F7A703" w14:textId="657F7D4D" w:rsidR="00A04D50" w:rsidRPr="00B54678" w:rsidRDefault="00310F69" w:rsidP="00310F69">
            <w:pPr>
              <w:rPr>
                <w:rFonts w:asciiTheme="minorHAnsi" w:hAnsiTheme="minorHAnsi" w:cstheme="minorHAnsi"/>
                <w:b/>
                <w:lang w:val="en-GB"/>
              </w:rPr>
            </w:pPr>
            <w:r w:rsidRPr="00B54678">
              <w:rPr>
                <w:rFonts w:asciiTheme="minorHAnsi" w:hAnsiTheme="minorHAnsi" w:cstheme="minorHAnsi"/>
                <w:b/>
                <w:lang w:val="en-GB"/>
              </w:rPr>
              <w:t xml:space="preserve">               87.</w:t>
            </w:r>
            <w:r w:rsidR="00A04D50" w:rsidRPr="00B54678">
              <w:rPr>
                <w:rFonts w:asciiTheme="minorHAnsi" w:hAnsiTheme="minorHAnsi" w:cstheme="minorHAnsi"/>
                <w:b/>
                <w:lang w:val="en-GB"/>
              </w:rPr>
              <w:t>2%</w:t>
            </w:r>
          </w:p>
        </w:tc>
      </w:tr>
    </w:tbl>
    <w:p w14:paraId="5D63D5A7" w14:textId="77777777" w:rsidR="00A04D50" w:rsidRPr="00B54678" w:rsidRDefault="00A04D50" w:rsidP="00A04D50">
      <w:pPr>
        <w:spacing w:after="120"/>
        <w:jc w:val="both"/>
        <w:rPr>
          <w:rFonts w:asciiTheme="minorHAnsi" w:hAnsiTheme="minorHAnsi" w:cstheme="minorHAnsi"/>
          <w:lang w:val="en-GB"/>
        </w:rPr>
      </w:pPr>
    </w:p>
    <w:p w14:paraId="6000548B" w14:textId="1CF4F9F5" w:rsidR="00310F69" w:rsidRPr="00B54678" w:rsidRDefault="00310F69" w:rsidP="00310F69">
      <w:pPr>
        <w:spacing w:before="120" w:after="120" w:line="276" w:lineRule="auto"/>
        <w:jc w:val="both"/>
        <w:rPr>
          <w:rFonts w:asciiTheme="minorHAnsi" w:hAnsiTheme="minorHAnsi" w:cstheme="minorHAnsi"/>
          <w:b/>
          <w:lang w:val="en-GB"/>
        </w:rPr>
      </w:pPr>
      <w:r w:rsidRPr="00B54678">
        <w:rPr>
          <w:rFonts w:asciiTheme="minorHAnsi" w:hAnsiTheme="minorHAnsi" w:cstheme="minorHAnsi"/>
          <w:b/>
          <w:lang w:val="en-GB"/>
        </w:rPr>
        <w:t>Deficiencies</w:t>
      </w:r>
    </w:p>
    <w:p w14:paraId="3F6A3F14" w14:textId="1805BA7A" w:rsidR="00310F69" w:rsidRPr="00B54678" w:rsidRDefault="00310F69" w:rsidP="00310F69">
      <w:pPr>
        <w:spacing w:before="120" w:after="120" w:line="276" w:lineRule="auto"/>
        <w:jc w:val="both"/>
        <w:rPr>
          <w:rFonts w:asciiTheme="minorHAnsi" w:hAnsiTheme="minorHAnsi" w:cstheme="minorHAnsi"/>
          <w:lang w:val="en-GB"/>
        </w:rPr>
      </w:pPr>
      <w:r w:rsidRPr="00B54678">
        <w:rPr>
          <w:rFonts w:asciiTheme="minorHAnsi" w:hAnsiTheme="minorHAnsi" w:cstheme="minorHAnsi"/>
          <w:lang w:val="en-GB"/>
        </w:rPr>
        <w:t>The Czech Trade Inspection Authority found a breach of the provisions of Act No. 63</w:t>
      </w:r>
      <w:r w:rsidRPr="00B54678">
        <w:rPr>
          <w:rFonts w:asciiTheme="minorHAnsi" w:hAnsiTheme="minorHAnsi" w:cstheme="minorHAnsi"/>
          <w:lang w:val="en-GB"/>
        </w:rPr>
        <w:t>4/1992, on consumer protection, in</w:t>
      </w:r>
      <w:r w:rsidRPr="00B54678">
        <w:rPr>
          <w:rFonts w:asciiTheme="minorHAnsi" w:hAnsiTheme="minorHAnsi" w:cstheme="minorHAnsi"/>
          <w:lang w:val="en-GB"/>
        </w:rPr>
        <w:t xml:space="preserve"> 42 cases </w:t>
      </w:r>
      <w:r w:rsidRPr="00B54678">
        <w:rPr>
          <w:rFonts w:asciiTheme="minorHAnsi" w:hAnsiTheme="minorHAnsi" w:cstheme="minorHAnsi"/>
          <w:lang w:val="en-GB"/>
        </w:rPr>
        <w:t>that</w:t>
      </w:r>
      <w:bookmarkStart w:id="0" w:name="_GoBack"/>
      <w:bookmarkEnd w:id="0"/>
      <w:r w:rsidRPr="00B54678">
        <w:rPr>
          <w:rFonts w:asciiTheme="minorHAnsi" w:hAnsiTheme="minorHAnsi" w:cstheme="minorHAnsi"/>
          <w:lang w:val="en-GB"/>
        </w:rPr>
        <w:t xml:space="preserve"> </w:t>
      </w:r>
      <w:r w:rsidRPr="00B54678">
        <w:rPr>
          <w:rFonts w:asciiTheme="minorHAnsi" w:hAnsiTheme="minorHAnsi" w:cstheme="minorHAnsi"/>
          <w:lang w:val="en-GB"/>
        </w:rPr>
        <w:t xml:space="preserve">involved unfair commercial practices (several different forms of unfair commercial practices </w:t>
      </w:r>
      <w:proofErr w:type="gramStart"/>
      <w:r w:rsidRPr="00B54678">
        <w:rPr>
          <w:rFonts w:asciiTheme="minorHAnsi" w:hAnsiTheme="minorHAnsi" w:cstheme="minorHAnsi"/>
          <w:lang w:val="en-GB"/>
        </w:rPr>
        <w:t>may also be identified</w:t>
      </w:r>
      <w:proofErr w:type="gramEnd"/>
      <w:r w:rsidRPr="00B54678">
        <w:rPr>
          <w:rFonts w:asciiTheme="minorHAnsi" w:hAnsiTheme="minorHAnsi" w:cstheme="minorHAnsi"/>
          <w:lang w:val="en-GB"/>
        </w:rPr>
        <w:t xml:space="preserve"> in one inspection):</w:t>
      </w:r>
    </w:p>
    <w:p w14:paraId="1336F99C" w14:textId="6D2A5604" w:rsidR="00310F69" w:rsidRPr="00B54678" w:rsidRDefault="00310F69" w:rsidP="00310F69">
      <w:pPr>
        <w:pStyle w:val="Odstavecseseznamem"/>
        <w:numPr>
          <w:ilvl w:val="0"/>
          <w:numId w:val="21"/>
        </w:numPr>
        <w:spacing w:before="120" w:after="120"/>
        <w:jc w:val="both"/>
        <w:rPr>
          <w:rFonts w:asciiTheme="minorHAnsi" w:eastAsia="Times New Roman" w:hAnsiTheme="minorHAnsi" w:cstheme="minorHAnsi"/>
          <w:lang w:val="en-GB" w:eastAsia="cs-CZ"/>
        </w:rPr>
      </w:pPr>
      <w:r w:rsidRPr="00B54678">
        <w:rPr>
          <w:rFonts w:asciiTheme="minorHAnsi" w:eastAsia="Times New Roman" w:hAnsiTheme="minorHAnsi" w:cstheme="minorHAnsi"/>
          <w:lang w:val="en-GB" w:eastAsia="cs-CZ"/>
        </w:rPr>
        <w:lastRenderedPageBreak/>
        <w:t xml:space="preserve">in 25 cases, traders used deceptive </w:t>
      </w:r>
      <w:r w:rsidRPr="00B54678">
        <w:rPr>
          <w:rFonts w:asciiTheme="minorHAnsi" w:eastAsia="Times New Roman" w:hAnsiTheme="minorHAnsi" w:cstheme="minorHAnsi"/>
          <w:lang w:val="en-GB" w:eastAsia="cs-CZ"/>
        </w:rPr>
        <w:t>practices that are</w:t>
      </w:r>
      <w:r w:rsidRPr="00B54678">
        <w:rPr>
          <w:rFonts w:asciiTheme="minorHAnsi" w:eastAsia="Times New Roman" w:hAnsiTheme="minorHAnsi" w:cstheme="minorHAnsi"/>
          <w:lang w:val="en-GB" w:eastAsia="cs-CZ"/>
        </w:rPr>
        <w:t xml:space="preserve"> considered misleading if </w:t>
      </w:r>
      <w:r w:rsidRPr="00B54678">
        <w:rPr>
          <w:rFonts w:asciiTheme="minorHAnsi" w:eastAsia="Times New Roman" w:hAnsiTheme="minorHAnsi" w:cstheme="minorHAnsi"/>
          <w:lang w:val="en-GB" w:eastAsia="cs-CZ"/>
        </w:rPr>
        <w:t>the</w:t>
      </w:r>
      <w:r w:rsidRPr="00B54678">
        <w:rPr>
          <w:rFonts w:asciiTheme="minorHAnsi" w:eastAsia="Times New Roman" w:hAnsiTheme="minorHAnsi" w:cstheme="minorHAnsi"/>
          <w:lang w:val="en-GB" w:eastAsia="cs-CZ"/>
        </w:rPr>
        <w:t xml:space="preserve"> </w:t>
      </w:r>
      <w:r w:rsidRPr="00B54678">
        <w:rPr>
          <w:rFonts w:asciiTheme="minorHAnsi" w:eastAsia="Times New Roman" w:hAnsiTheme="minorHAnsi" w:cstheme="minorHAnsi"/>
          <w:lang w:val="en-GB" w:eastAsia="cs-CZ"/>
        </w:rPr>
        <w:t xml:space="preserve">consist of </w:t>
      </w:r>
      <w:r w:rsidRPr="00B54678">
        <w:rPr>
          <w:rFonts w:asciiTheme="minorHAnsi" w:eastAsia="Times New Roman" w:hAnsiTheme="minorHAnsi" w:cstheme="minorHAnsi"/>
          <w:lang w:val="en-GB" w:eastAsia="cs-CZ"/>
        </w:rPr>
        <w:t xml:space="preserve">factually incorrect information </w:t>
      </w:r>
      <w:r w:rsidRPr="00B54678">
        <w:rPr>
          <w:rFonts w:asciiTheme="minorHAnsi" w:eastAsia="Times New Roman" w:hAnsiTheme="minorHAnsi" w:cstheme="minorHAnsi"/>
          <w:lang w:val="en-GB" w:eastAsia="cs-CZ"/>
        </w:rPr>
        <w:t>which is</w:t>
      </w:r>
      <w:r w:rsidRPr="00B54678">
        <w:rPr>
          <w:rFonts w:asciiTheme="minorHAnsi" w:eastAsia="Times New Roman" w:hAnsiTheme="minorHAnsi" w:cstheme="minorHAnsi"/>
          <w:lang w:val="en-GB" w:eastAsia="cs-CZ"/>
        </w:rPr>
        <w:t xml:space="preserve"> therefore false, which leads or may lead consumers to a purchase decision that they would not </w:t>
      </w:r>
      <w:r w:rsidRPr="00B54678">
        <w:rPr>
          <w:rFonts w:asciiTheme="minorHAnsi" w:eastAsia="Times New Roman" w:hAnsiTheme="minorHAnsi" w:cstheme="minorHAnsi"/>
          <w:lang w:val="en-GB" w:eastAsia="cs-CZ"/>
        </w:rPr>
        <w:t>make</w:t>
      </w:r>
      <w:r w:rsidRPr="00B54678">
        <w:rPr>
          <w:rFonts w:asciiTheme="minorHAnsi" w:eastAsia="Times New Roman" w:hAnsiTheme="minorHAnsi" w:cstheme="minorHAnsi"/>
          <w:lang w:val="en-GB" w:eastAsia="cs-CZ"/>
        </w:rPr>
        <w:t xml:space="preserve"> otherwise (Section 4 following </w:t>
      </w:r>
      <w:r w:rsidR="00720413" w:rsidRPr="00B54678">
        <w:rPr>
          <w:rFonts w:asciiTheme="minorHAnsi" w:eastAsia="Times New Roman" w:hAnsiTheme="minorHAnsi" w:cstheme="minorHAnsi"/>
          <w:lang w:val="en-GB" w:eastAsia="cs-CZ"/>
        </w:rPr>
        <w:t>Section</w:t>
      </w:r>
      <w:r w:rsidR="00720413" w:rsidRPr="00B54678">
        <w:rPr>
          <w:rFonts w:asciiTheme="minorHAnsi" w:eastAsia="Times New Roman" w:hAnsiTheme="minorHAnsi" w:cstheme="minorHAnsi"/>
          <w:lang w:val="en-GB" w:eastAsia="cs-CZ"/>
        </w:rPr>
        <w:t xml:space="preserve"> 5 par. </w:t>
      </w:r>
      <w:r w:rsidRPr="00B54678">
        <w:rPr>
          <w:rFonts w:asciiTheme="minorHAnsi" w:eastAsia="Times New Roman" w:hAnsiTheme="minorHAnsi" w:cstheme="minorHAnsi"/>
          <w:lang w:val="en-GB" w:eastAsia="cs-CZ"/>
        </w:rPr>
        <w:t>1)</w:t>
      </w:r>
      <w:r w:rsidRPr="00B54678">
        <w:rPr>
          <w:rFonts w:asciiTheme="minorHAnsi" w:eastAsia="Times New Roman" w:hAnsiTheme="minorHAnsi" w:cstheme="minorHAnsi"/>
          <w:lang w:val="en-GB" w:eastAsia="cs-CZ"/>
        </w:rPr>
        <w:t>;</w:t>
      </w:r>
    </w:p>
    <w:p w14:paraId="3F12828E" w14:textId="553497AE" w:rsidR="00310F69" w:rsidRPr="00B54678" w:rsidRDefault="00310F69" w:rsidP="00310F69">
      <w:pPr>
        <w:pStyle w:val="Odstavecseseznamem"/>
        <w:numPr>
          <w:ilvl w:val="0"/>
          <w:numId w:val="21"/>
        </w:numPr>
        <w:spacing w:before="120" w:after="120"/>
        <w:jc w:val="both"/>
        <w:rPr>
          <w:rFonts w:asciiTheme="minorHAnsi" w:eastAsia="Times New Roman" w:hAnsiTheme="minorHAnsi" w:cstheme="minorHAnsi"/>
          <w:lang w:val="en-GB" w:eastAsia="cs-CZ"/>
        </w:rPr>
      </w:pPr>
      <w:r w:rsidRPr="00B54678">
        <w:rPr>
          <w:rFonts w:asciiTheme="minorHAnsi" w:eastAsia="Times New Roman" w:hAnsiTheme="minorHAnsi" w:cstheme="minorHAnsi"/>
          <w:lang w:val="en-GB" w:eastAsia="cs-CZ"/>
        </w:rPr>
        <w:t xml:space="preserve">in 14 cases, the use of unfair commercial practices, i.e. practices that are contrary to the requirements of professional care and substantially </w:t>
      </w:r>
      <w:r w:rsidRPr="00B54678">
        <w:rPr>
          <w:rFonts w:asciiTheme="minorHAnsi" w:eastAsia="Times New Roman" w:hAnsiTheme="minorHAnsi" w:cstheme="minorHAnsi"/>
          <w:lang w:val="en-GB" w:eastAsia="cs-CZ"/>
        </w:rPr>
        <w:t>disrupt</w:t>
      </w:r>
      <w:r w:rsidRPr="00B54678">
        <w:rPr>
          <w:rFonts w:asciiTheme="minorHAnsi" w:eastAsia="Times New Roman" w:hAnsiTheme="minorHAnsi" w:cstheme="minorHAnsi"/>
          <w:lang w:val="en-GB" w:eastAsia="cs-CZ"/>
        </w:rPr>
        <w:t xml:space="preserve"> or are capable of substantially disrupting the economic behaviour of the consumer to whom they a</w:t>
      </w:r>
      <w:r w:rsidR="00720413" w:rsidRPr="00B54678">
        <w:rPr>
          <w:rFonts w:asciiTheme="minorHAnsi" w:eastAsia="Times New Roman" w:hAnsiTheme="minorHAnsi" w:cstheme="minorHAnsi"/>
          <w:lang w:val="en-GB" w:eastAsia="cs-CZ"/>
        </w:rPr>
        <w:t xml:space="preserve">re addressed (section 4 par. 1, par. </w:t>
      </w:r>
      <w:r w:rsidRPr="00B54678">
        <w:rPr>
          <w:rFonts w:asciiTheme="minorHAnsi" w:eastAsia="Times New Roman" w:hAnsiTheme="minorHAnsi" w:cstheme="minorHAnsi"/>
          <w:lang w:val="en-GB" w:eastAsia="cs-CZ"/>
        </w:rPr>
        <w:t>4)</w:t>
      </w:r>
      <w:r w:rsidRPr="00B54678">
        <w:rPr>
          <w:rFonts w:asciiTheme="minorHAnsi" w:eastAsia="Times New Roman" w:hAnsiTheme="minorHAnsi" w:cstheme="minorHAnsi"/>
          <w:lang w:val="en-GB" w:eastAsia="cs-CZ"/>
        </w:rPr>
        <w:t>;</w:t>
      </w:r>
    </w:p>
    <w:p w14:paraId="442753DB" w14:textId="20856908" w:rsidR="00310F69" w:rsidRPr="00B54678" w:rsidRDefault="00310F69" w:rsidP="00310F69">
      <w:pPr>
        <w:pStyle w:val="Odstavecseseznamem"/>
        <w:numPr>
          <w:ilvl w:val="0"/>
          <w:numId w:val="21"/>
        </w:numPr>
        <w:spacing w:before="120" w:after="120"/>
        <w:jc w:val="both"/>
        <w:rPr>
          <w:rFonts w:asciiTheme="minorHAnsi" w:eastAsia="Times New Roman" w:hAnsiTheme="minorHAnsi" w:cstheme="minorHAnsi"/>
          <w:lang w:val="en-GB" w:eastAsia="cs-CZ"/>
        </w:rPr>
      </w:pPr>
      <w:proofErr w:type="gramStart"/>
      <w:r w:rsidRPr="00B54678">
        <w:rPr>
          <w:rFonts w:asciiTheme="minorHAnsi" w:eastAsia="Times New Roman" w:hAnsiTheme="minorHAnsi" w:cstheme="minorHAnsi"/>
          <w:lang w:val="en-GB" w:eastAsia="cs-CZ"/>
        </w:rPr>
        <w:t>in</w:t>
      </w:r>
      <w:proofErr w:type="gramEnd"/>
      <w:r w:rsidRPr="00B54678">
        <w:rPr>
          <w:rFonts w:asciiTheme="minorHAnsi" w:eastAsia="Times New Roman" w:hAnsiTheme="minorHAnsi" w:cstheme="minorHAnsi"/>
          <w:lang w:val="en-GB" w:eastAsia="cs-CZ"/>
        </w:rPr>
        <w:t xml:space="preserve"> 1 case, the sellers used aggressive commercial practices towards the consumer. An aggressive commercial practice shall be deemed to be a commercial practice which, in its factual context and </w:t>
      </w:r>
      <w:r w:rsidR="005D44BB" w:rsidRPr="00B54678">
        <w:rPr>
          <w:rFonts w:asciiTheme="minorHAnsi" w:eastAsia="Times New Roman" w:hAnsiTheme="minorHAnsi" w:cstheme="minorHAnsi"/>
          <w:lang w:val="en-GB" w:eastAsia="cs-CZ"/>
        </w:rPr>
        <w:t xml:space="preserve">with regard to </w:t>
      </w:r>
      <w:r w:rsidRPr="00B54678">
        <w:rPr>
          <w:rFonts w:asciiTheme="minorHAnsi" w:eastAsia="Times New Roman" w:hAnsiTheme="minorHAnsi" w:cstheme="minorHAnsi"/>
          <w:lang w:val="en-GB" w:eastAsia="cs-CZ"/>
        </w:rPr>
        <w:t>all its features and circumstances, significantly impairs or is likely to impair the consumer's freedom of choice or conduct in relation to the product or service by harassing,</w:t>
      </w:r>
      <w:r w:rsidR="005D44BB" w:rsidRPr="00B54678">
        <w:rPr>
          <w:rFonts w:asciiTheme="minorHAnsi" w:eastAsia="Times New Roman" w:hAnsiTheme="minorHAnsi" w:cstheme="minorHAnsi"/>
          <w:lang w:val="en-GB" w:eastAsia="cs-CZ"/>
        </w:rPr>
        <w:t xml:space="preserve"> forci</w:t>
      </w:r>
      <w:r w:rsidRPr="00B54678">
        <w:rPr>
          <w:rFonts w:asciiTheme="minorHAnsi" w:eastAsia="Times New Roman" w:hAnsiTheme="minorHAnsi" w:cstheme="minorHAnsi"/>
          <w:lang w:val="en-GB" w:eastAsia="cs-CZ"/>
        </w:rPr>
        <w:t xml:space="preserve">ng, including the use of physical force or undue influence, thereby causing or likely to cause the consumer to make a decision regarding the purchase which he would not </w:t>
      </w:r>
      <w:r w:rsidR="005D44BB" w:rsidRPr="00B54678">
        <w:rPr>
          <w:rFonts w:asciiTheme="minorHAnsi" w:eastAsia="Times New Roman" w:hAnsiTheme="minorHAnsi" w:cstheme="minorHAnsi"/>
          <w:lang w:val="en-GB" w:eastAsia="cs-CZ"/>
        </w:rPr>
        <w:t>make</w:t>
      </w:r>
      <w:r w:rsidRPr="00B54678">
        <w:rPr>
          <w:rFonts w:asciiTheme="minorHAnsi" w:eastAsia="Times New Roman" w:hAnsiTheme="minorHAnsi" w:cstheme="minorHAnsi"/>
          <w:lang w:val="en-GB" w:eastAsia="cs-CZ"/>
        </w:rPr>
        <w:t xml:space="preserve"> otherwise (</w:t>
      </w:r>
      <w:r w:rsidR="00720413" w:rsidRPr="00B54678">
        <w:rPr>
          <w:rFonts w:asciiTheme="minorHAnsi" w:eastAsia="Times New Roman" w:hAnsiTheme="minorHAnsi" w:cstheme="minorHAnsi"/>
          <w:lang w:val="en-GB" w:eastAsia="cs-CZ"/>
        </w:rPr>
        <w:t>Section</w:t>
      </w:r>
      <w:r w:rsidRPr="00B54678">
        <w:rPr>
          <w:rFonts w:asciiTheme="minorHAnsi" w:eastAsia="Times New Roman" w:hAnsiTheme="minorHAnsi" w:cstheme="minorHAnsi"/>
          <w:lang w:val="en-GB" w:eastAsia="cs-CZ"/>
        </w:rPr>
        <w:t xml:space="preserve"> 4 following </w:t>
      </w:r>
      <w:r w:rsidR="00720413" w:rsidRPr="00B54678">
        <w:rPr>
          <w:rFonts w:asciiTheme="minorHAnsi" w:eastAsia="Times New Roman" w:hAnsiTheme="minorHAnsi" w:cstheme="minorHAnsi"/>
          <w:lang w:val="en-GB" w:eastAsia="cs-CZ"/>
        </w:rPr>
        <w:t>Section</w:t>
      </w:r>
      <w:r w:rsidRPr="00B54678">
        <w:rPr>
          <w:rFonts w:asciiTheme="minorHAnsi" w:eastAsia="Times New Roman" w:hAnsiTheme="minorHAnsi" w:cstheme="minorHAnsi"/>
          <w:lang w:val="en-GB" w:eastAsia="cs-CZ"/>
        </w:rPr>
        <w:t xml:space="preserve"> 5b par. 1)</w:t>
      </w:r>
      <w:r w:rsidRPr="00B54678">
        <w:rPr>
          <w:rFonts w:asciiTheme="minorHAnsi" w:eastAsia="Times New Roman" w:hAnsiTheme="minorHAnsi" w:cstheme="minorHAnsi"/>
          <w:lang w:val="en-GB" w:eastAsia="cs-CZ"/>
        </w:rPr>
        <w:t>;</w:t>
      </w:r>
    </w:p>
    <w:p w14:paraId="33C8E355" w14:textId="0A340D8D" w:rsidR="00310F69" w:rsidRPr="00B54678" w:rsidRDefault="00310F69" w:rsidP="00310F69">
      <w:pPr>
        <w:pStyle w:val="Odstavecseseznamem"/>
        <w:numPr>
          <w:ilvl w:val="0"/>
          <w:numId w:val="21"/>
        </w:numPr>
        <w:spacing w:before="120" w:after="120"/>
        <w:jc w:val="both"/>
        <w:rPr>
          <w:rFonts w:asciiTheme="minorHAnsi" w:eastAsia="Times New Roman" w:hAnsiTheme="minorHAnsi" w:cstheme="minorHAnsi"/>
          <w:lang w:val="en-GB" w:eastAsia="cs-CZ"/>
        </w:rPr>
      </w:pPr>
      <w:r w:rsidRPr="00B54678">
        <w:rPr>
          <w:rFonts w:asciiTheme="minorHAnsi" w:eastAsia="Times New Roman" w:hAnsiTheme="minorHAnsi" w:cstheme="minorHAnsi"/>
          <w:lang w:val="en-GB" w:eastAsia="cs-CZ"/>
        </w:rPr>
        <w:t xml:space="preserve">in 1 case, the trader used a misleading commercial practice, containing true information, but which was provided in a way that misled the consumer as to the existence and substance of the product, main characteristics of the product or service, the extent of the seller's obligation, price or method of calculating the price, etc., and led or could have led the consumer to decide on a purchase which he would not </w:t>
      </w:r>
      <w:r w:rsidR="005D44BB" w:rsidRPr="00B54678">
        <w:rPr>
          <w:rFonts w:asciiTheme="minorHAnsi" w:eastAsia="Times New Roman" w:hAnsiTheme="minorHAnsi" w:cstheme="minorHAnsi"/>
          <w:lang w:val="en-GB" w:eastAsia="cs-CZ"/>
        </w:rPr>
        <w:t>do</w:t>
      </w:r>
      <w:r w:rsidRPr="00B54678">
        <w:rPr>
          <w:rFonts w:asciiTheme="minorHAnsi" w:eastAsia="Times New Roman" w:hAnsiTheme="minorHAnsi" w:cstheme="minorHAnsi"/>
          <w:lang w:val="en-GB" w:eastAsia="cs-CZ"/>
        </w:rPr>
        <w:t xml:space="preserve"> otherwise</w:t>
      </w:r>
      <w:r w:rsidR="00720413" w:rsidRPr="00B54678">
        <w:rPr>
          <w:rFonts w:asciiTheme="minorHAnsi" w:eastAsia="Times New Roman" w:hAnsiTheme="minorHAnsi" w:cstheme="minorHAnsi"/>
          <w:lang w:val="en-GB" w:eastAsia="cs-CZ"/>
        </w:rPr>
        <w:t xml:space="preserve"> </w:t>
      </w:r>
      <w:r w:rsidRPr="00B54678">
        <w:rPr>
          <w:rFonts w:asciiTheme="minorHAnsi" w:eastAsia="Times New Roman" w:hAnsiTheme="minorHAnsi" w:cstheme="minorHAnsi"/>
          <w:lang w:val="en-GB" w:eastAsia="cs-CZ"/>
        </w:rPr>
        <w:t>(</w:t>
      </w:r>
      <w:r w:rsidR="00720413" w:rsidRPr="00B54678">
        <w:rPr>
          <w:rFonts w:asciiTheme="minorHAnsi" w:eastAsia="Times New Roman" w:hAnsiTheme="minorHAnsi" w:cstheme="minorHAnsi"/>
          <w:lang w:val="en-GB" w:eastAsia="cs-CZ"/>
        </w:rPr>
        <w:t>Section</w:t>
      </w:r>
      <w:r w:rsidRPr="00B54678">
        <w:rPr>
          <w:rFonts w:asciiTheme="minorHAnsi" w:eastAsia="Times New Roman" w:hAnsiTheme="minorHAnsi" w:cstheme="minorHAnsi"/>
          <w:lang w:val="en-GB" w:eastAsia="cs-CZ"/>
        </w:rPr>
        <w:t xml:space="preserve"> 4 following </w:t>
      </w:r>
      <w:r w:rsidR="00720413" w:rsidRPr="00B54678">
        <w:rPr>
          <w:rFonts w:asciiTheme="minorHAnsi" w:eastAsia="Times New Roman" w:hAnsiTheme="minorHAnsi" w:cstheme="minorHAnsi"/>
          <w:lang w:val="en-GB" w:eastAsia="cs-CZ"/>
        </w:rPr>
        <w:t>Section</w:t>
      </w:r>
      <w:r w:rsidR="00720413" w:rsidRPr="00B54678">
        <w:rPr>
          <w:rFonts w:asciiTheme="minorHAnsi" w:eastAsia="Times New Roman" w:hAnsiTheme="minorHAnsi" w:cstheme="minorHAnsi"/>
          <w:lang w:val="en-GB" w:eastAsia="cs-CZ"/>
        </w:rPr>
        <w:t xml:space="preserve"> 5 par. </w:t>
      </w:r>
      <w:r w:rsidRPr="00B54678">
        <w:rPr>
          <w:rFonts w:asciiTheme="minorHAnsi" w:eastAsia="Times New Roman" w:hAnsiTheme="minorHAnsi" w:cstheme="minorHAnsi"/>
          <w:lang w:val="en-GB" w:eastAsia="cs-CZ"/>
        </w:rPr>
        <w:t>2)</w:t>
      </w:r>
      <w:r w:rsidRPr="00B54678">
        <w:rPr>
          <w:rFonts w:asciiTheme="minorHAnsi" w:eastAsia="Times New Roman" w:hAnsiTheme="minorHAnsi" w:cstheme="minorHAnsi"/>
          <w:lang w:val="en-GB" w:eastAsia="cs-CZ"/>
        </w:rPr>
        <w:t>;</w:t>
      </w:r>
    </w:p>
    <w:p w14:paraId="3CC07C52" w14:textId="7FC7500B" w:rsidR="00310F69" w:rsidRPr="00B54678" w:rsidRDefault="00310F69" w:rsidP="00310F69">
      <w:pPr>
        <w:pStyle w:val="Odstavecseseznamem"/>
        <w:numPr>
          <w:ilvl w:val="0"/>
          <w:numId w:val="21"/>
        </w:numPr>
        <w:spacing w:before="120" w:after="120"/>
        <w:jc w:val="both"/>
        <w:rPr>
          <w:rFonts w:asciiTheme="minorHAnsi" w:eastAsia="Times New Roman" w:hAnsiTheme="minorHAnsi" w:cstheme="minorHAnsi"/>
          <w:lang w:val="en-GB" w:eastAsia="cs-CZ"/>
        </w:rPr>
      </w:pPr>
      <w:proofErr w:type="gramStart"/>
      <w:r w:rsidRPr="00B54678">
        <w:rPr>
          <w:rFonts w:asciiTheme="minorHAnsi" w:eastAsia="Times New Roman" w:hAnsiTheme="minorHAnsi" w:cstheme="minorHAnsi"/>
          <w:lang w:val="en-GB" w:eastAsia="cs-CZ"/>
        </w:rPr>
        <w:t xml:space="preserve">in 1 case, a deceptive omission </w:t>
      </w:r>
      <w:r w:rsidR="005D44BB" w:rsidRPr="00B54678">
        <w:rPr>
          <w:rFonts w:asciiTheme="minorHAnsi" w:eastAsia="Times New Roman" w:hAnsiTheme="minorHAnsi" w:cstheme="minorHAnsi"/>
          <w:lang w:val="en-GB" w:eastAsia="cs-CZ"/>
        </w:rPr>
        <w:t>was</w:t>
      </w:r>
      <w:r w:rsidR="00720413" w:rsidRPr="00B54678">
        <w:rPr>
          <w:rFonts w:asciiTheme="minorHAnsi" w:eastAsia="Times New Roman" w:hAnsiTheme="minorHAnsi" w:cstheme="minorHAnsi"/>
          <w:lang w:val="en-GB" w:eastAsia="cs-CZ"/>
        </w:rPr>
        <w:t xml:space="preserve"> used; this is when</w:t>
      </w:r>
      <w:r w:rsidRPr="00B54678">
        <w:rPr>
          <w:rFonts w:asciiTheme="minorHAnsi" w:eastAsia="Times New Roman" w:hAnsiTheme="minorHAnsi" w:cstheme="minorHAnsi"/>
          <w:lang w:val="en-GB" w:eastAsia="cs-CZ"/>
        </w:rPr>
        <w:t xml:space="preserve"> the seller conceals the essential information or provides it in an unclear, incomprehensible or ambiguous manner or at an inconvenient time due to existing circumstances relating to the restriction of the media to which the essential information is provided, or does not state the commercial intent of the commercial practice, if it is not evident from the context, and where this leads or may lead the consumer to </w:t>
      </w:r>
      <w:r w:rsidR="00720413" w:rsidRPr="00B54678">
        <w:rPr>
          <w:rFonts w:asciiTheme="minorHAnsi" w:eastAsia="Times New Roman" w:hAnsiTheme="minorHAnsi" w:cstheme="minorHAnsi"/>
          <w:lang w:val="en-GB" w:eastAsia="cs-CZ"/>
        </w:rPr>
        <w:t>make a decision</w:t>
      </w:r>
      <w:r w:rsidRPr="00B54678">
        <w:rPr>
          <w:rFonts w:asciiTheme="minorHAnsi" w:eastAsia="Times New Roman" w:hAnsiTheme="minorHAnsi" w:cstheme="minorHAnsi"/>
          <w:lang w:val="en-GB" w:eastAsia="cs-CZ"/>
        </w:rPr>
        <w:t xml:space="preserve"> on the purchase which he would not </w:t>
      </w:r>
      <w:r w:rsidR="00720413" w:rsidRPr="00B54678">
        <w:rPr>
          <w:rFonts w:asciiTheme="minorHAnsi" w:eastAsia="Times New Roman" w:hAnsiTheme="minorHAnsi" w:cstheme="minorHAnsi"/>
          <w:lang w:val="en-GB" w:eastAsia="cs-CZ"/>
        </w:rPr>
        <w:t>make</w:t>
      </w:r>
      <w:r w:rsidRPr="00B54678">
        <w:rPr>
          <w:rFonts w:asciiTheme="minorHAnsi" w:eastAsia="Times New Roman" w:hAnsiTheme="minorHAnsi" w:cstheme="minorHAnsi"/>
          <w:lang w:val="en-GB" w:eastAsia="cs-CZ"/>
        </w:rPr>
        <w:t xml:space="preserve"> otherwise (§ 4 following </w:t>
      </w:r>
      <w:r w:rsidR="00720413" w:rsidRPr="00B54678">
        <w:rPr>
          <w:rFonts w:asciiTheme="minorHAnsi" w:eastAsia="Times New Roman" w:hAnsiTheme="minorHAnsi" w:cstheme="minorHAnsi"/>
          <w:lang w:val="en-GB" w:eastAsia="cs-CZ"/>
        </w:rPr>
        <w:t>Section 5a par</w:t>
      </w:r>
      <w:r w:rsidRPr="00B54678">
        <w:rPr>
          <w:rFonts w:asciiTheme="minorHAnsi" w:eastAsia="Times New Roman" w:hAnsiTheme="minorHAnsi" w:cstheme="minorHAnsi"/>
          <w:lang w:val="en-GB" w:eastAsia="cs-CZ"/>
        </w:rPr>
        <w:t>. 2)</w:t>
      </w:r>
      <w:r w:rsidR="00720413" w:rsidRPr="00B54678">
        <w:rPr>
          <w:rFonts w:asciiTheme="minorHAnsi" w:eastAsia="Times New Roman" w:hAnsiTheme="minorHAnsi" w:cstheme="minorHAnsi"/>
          <w:lang w:val="en-GB" w:eastAsia="cs-CZ"/>
        </w:rPr>
        <w:t>.</w:t>
      </w:r>
      <w:proofErr w:type="gramEnd"/>
    </w:p>
    <w:p w14:paraId="3F2CA501" w14:textId="5A3179CF" w:rsidR="00720413" w:rsidRPr="00B54678" w:rsidRDefault="00720413" w:rsidP="00720413">
      <w:pPr>
        <w:spacing w:after="120"/>
        <w:jc w:val="both"/>
        <w:rPr>
          <w:rFonts w:asciiTheme="minorHAnsi" w:hAnsiTheme="minorHAnsi" w:cstheme="minorHAnsi"/>
          <w:lang w:val="en-GB"/>
        </w:rPr>
      </w:pPr>
      <w:r w:rsidRPr="00B54678">
        <w:rPr>
          <w:rFonts w:asciiTheme="minorHAnsi" w:hAnsiTheme="minorHAnsi" w:cstheme="minorHAnsi"/>
          <w:lang w:val="en-GB"/>
        </w:rPr>
        <w:t xml:space="preserve">Further infringements of </w:t>
      </w:r>
      <w:r w:rsidRPr="00B54678">
        <w:rPr>
          <w:rFonts w:asciiTheme="minorHAnsi" w:hAnsiTheme="minorHAnsi" w:cstheme="minorHAnsi"/>
          <w:lang w:val="en-GB"/>
        </w:rPr>
        <w:t>the Act No 634/1992 on Consumer P</w:t>
      </w:r>
      <w:r w:rsidRPr="00B54678">
        <w:rPr>
          <w:rFonts w:asciiTheme="minorHAnsi" w:hAnsiTheme="minorHAnsi" w:cstheme="minorHAnsi"/>
          <w:lang w:val="en-GB"/>
        </w:rPr>
        <w:t xml:space="preserve">rotection </w:t>
      </w:r>
      <w:proofErr w:type="gramStart"/>
      <w:r w:rsidRPr="00B54678">
        <w:rPr>
          <w:rFonts w:asciiTheme="minorHAnsi" w:hAnsiTheme="minorHAnsi" w:cstheme="minorHAnsi"/>
          <w:lang w:val="en-GB"/>
        </w:rPr>
        <w:t>were found</w:t>
      </w:r>
      <w:proofErr w:type="gramEnd"/>
      <w:r w:rsidRPr="00B54678">
        <w:rPr>
          <w:rFonts w:asciiTheme="minorHAnsi" w:hAnsiTheme="minorHAnsi" w:cstheme="minorHAnsi"/>
          <w:lang w:val="en-GB"/>
        </w:rPr>
        <w:t xml:space="preserve"> in the following cases:</w:t>
      </w:r>
    </w:p>
    <w:p w14:paraId="2EC2DD1F" w14:textId="706CBD66" w:rsidR="00720413" w:rsidRPr="00B54678" w:rsidRDefault="00720413" w:rsidP="00720413">
      <w:pPr>
        <w:spacing w:after="120"/>
        <w:ind w:left="426"/>
        <w:jc w:val="both"/>
        <w:rPr>
          <w:rFonts w:asciiTheme="minorHAnsi" w:hAnsiTheme="minorHAnsi" w:cstheme="minorHAnsi"/>
          <w:lang w:val="en-GB"/>
        </w:rPr>
      </w:pPr>
      <w:r w:rsidRPr="00B54678">
        <w:rPr>
          <w:rFonts w:asciiTheme="minorHAnsi" w:hAnsiTheme="minorHAnsi" w:cstheme="minorHAnsi"/>
          <w:lang w:val="en-GB"/>
        </w:rPr>
        <w:t>• in 20 cases, the consumer was not properly informed about the scope, conditions and method of exercising the right to claim the goods, together with details of where to make the complaint (</w:t>
      </w:r>
      <w:r w:rsidR="00B54678" w:rsidRPr="00B54678">
        <w:rPr>
          <w:rFonts w:asciiTheme="minorHAnsi" w:hAnsiTheme="minorHAnsi" w:cstheme="minorHAnsi"/>
          <w:lang w:val="en-GB"/>
        </w:rPr>
        <w:t>Section</w:t>
      </w:r>
      <w:r w:rsidRPr="00B54678">
        <w:rPr>
          <w:rFonts w:asciiTheme="minorHAnsi" w:hAnsiTheme="minorHAnsi" w:cstheme="minorHAnsi"/>
          <w:lang w:val="en-GB"/>
        </w:rPr>
        <w:t xml:space="preserve"> 13)</w:t>
      </w:r>
      <w:r w:rsidR="00B54678" w:rsidRPr="00B54678">
        <w:rPr>
          <w:rFonts w:asciiTheme="minorHAnsi" w:hAnsiTheme="minorHAnsi" w:cstheme="minorHAnsi"/>
          <w:lang w:val="en-GB"/>
        </w:rPr>
        <w:t>;</w:t>
      </w:r>
    </w:p>
    <w:p w14:paraId="04A9CC3A" w14:textId="6E51DEF9" w:rsidR="00720413" w:rsidRPr="00B54678" w:rsidRDefault="00720413" w:rsidP="00720413">
      <w:pPr>
        <w:spacing w:after="120"/>
        <w:ind w:left="426"/>
        <w:jc w:val="both"/>
        <w:rPr>
          <w:rFonts w:asciiTheme="minorHAnsi" w:hAnsiTheme="minorHAnsi" w:cstheme="minorHAnsi"/>
          <w:lang w:val="en-GB"/>
        </w:rPr>
      </w:pPr>
      <w:r w:rsidRPr="00B54678">
        <w:rPr>
          <w:rFonts w:asciiTheme="minorHAnsi" w:hAnsiTheme="minorHAnsi" w:cstheme="minorHAnsi"/>
          <w:lang w:val="en-GB"/>
        </w:rPr>
        <w:t>• in 6 cases, when selling or providing services outside a notified establishment, sellers</w:t>
      </w:r>
      <w:r w:rsidR="00B54678" w:rsidRPr="00B54678">
        <w:rPr>
          <w:rFonts w:asciiTheme="minorHAnsi" w:hAnsiTheme="minorHAnsi" w:cstheme="minorHAnsi"/>
          <w:lang w:val="en-GB"/>
        </w:rPr>
        <w:t xml:space="preserve"> failed to provide</w:t>
      </w:r>
      <w:r w:rsidRPr="00B54678">
        <w:rPr>
          <w:rFonts w:asciiTheme="minorHAnsi" w:hAnsiTheme="minorHAnsi" w:cstheme="minorHAnsi"/>
          <w:lang w:val="en-GB"/>
        </w:rPr>
        <w:t xml:space="preserve"> information relating in particular to the name</w:t>
      </w:r>
      <w:r w:rsidR="00B54678" w:rsidRPr="00B54678">
        <w:rPr>
          <w:rFonts w:asciiTheme="minorHAnsi" w:hAnsiTheme="minorHAnsi" w:cstheme="minorHAnsi"/>
          <w:lang w:val="en-GB"/>
        </w:rPr>
        <w:t xml:space="preserve"> </w:t>
      </w:r>
      <w:r w:rsidRPr="00B54678">
        <w:rPr>
          <w:rFonts w:asciiTheme="minorHAnsi" w:hAnsiTheme="minorHAnsi" w:cstheme="minorHAnsi"/>
          <w:lang w:val="en-GB"/>
        </w:rPr>
        <w:t xml:space="preserve">and address of the seller, or information where the consumer can make a </w:t>
      </w:r>
      <w:r w:rsidR="00B54678" w:rsidRPr="00B54678">
        <w:rPr>
          <w:rFonts w:asciiTheme="minorHAnsi" w:hAnsiTheme="minorHAnsi" w:cstheme="minorHAnsi"/>
          <w:lang w:val="en-GB"/>
        </w:rPr>
        <w:t>claim</w:t>
      </w:r>
      <w:r w:rsidRPr="00B54678">
        <w:rPr>
          <w:rFonts w:asciiTheme="minorHAnsi" w:hAnsiTheme="minorHAnsi" w:cstheme="minorHAnsi"/>
          <w:lang w:val="en-GB"/>
        </w:rPr>
        <w:t xml:space="preserve"> even after the termination of such sale or provision of services (</w:t>
      </w:r>
      <w:r w:rsidR="00B54678" w:rsidRPr="00B54678">
        <w:rPr>
          <w:rFonts w:asciiTheme="minorHAnsi" w:hAnsiTheme="minorHAnsi" w:cstheme="minorHAnsi"/>
          <w:lang w:val="en-GB"/>
        </w:rPr>
        <w:t>Section</w:t>
      </w:r>
      <w:r w:rsidRPr="00B54678">
        <w:rPr>
          <w:rFonts w:asciiTheme="minorHAnsi" w:hAnsiTheme="minorHAnsi" w:cstheme="minorHAnsi"/>
          <w:lang w:val="en-GB"/>
        </w:rPr>
        <w:t xml:space="preserve"> 19 para. 4)</w:t>
      </w:r>
      <w:r w:rsidR="00B54678" w:rsidRPr="00B54678">
        <w:rPr>
          <w:rFonts w:asciiTheme="minorHAnsi" w:hAnsiTheme="minorHAnsi" w:cstheme="minorHAnsi"/>
          <w:lang w:val="en-GB"/>
        </w:rPr>
        <w:t>;</w:t>
      </w:r>
    </w:p>
    <w:p w14:paraId="010C7802" w14:textId="20F9D714" w:rsidR="00720413" w:rsidRPr="00B54678" w:rsidRDefault="00720413" w:rsidP="00720413">
      <w:pPr>
        <w:spacing w:after="120"/>
        <w:ind w:left="426"/>
        <w:jc w:val="both"/>
        <w:rPr>
          <w:rFonts w:asciiTheme="minorHAnsi" w:hAnsiTheme="minorHAnsi" w:cstheme="minorHAnsi"/>
          <w:lang w:val="en-GB"/>
        </w:rPr>
      </w:pPr>
      <w:r w:rsidRPr="00B54678">
        <w:rPr>
          <w:rFonts w:asciiTheme="minorHAnsi" w:hAnsiTheme="minorHAnsi" w:cstheme="minorHAnsi"/>
          <w:lang w:val="en-GB"/>
        </w:rPr>
        <w:t xml:space="preserve">• </w:t>
      </w:r>
      <w:proofErr w:type="gramStart"/>
      <w:r w:rsidRPr="00B54678">
        <w:rPr>
          <w:rFonts w:asciiTheme="minorHAnsi" w:hAnsiTheme="minorHAnsi" w:cstheme="minorHAnsi"/>
          <w:lang w:val="en-GB"/>
        </w:rPr>
        <w:t>in</w:t>
      </w:r>
      <w:proofErr w:type="gramEnd"/>
      <w:r w:rsidRPr="00B54678">
        <w:rPr>
          <w:rFonts w:asciiTheme="minorHAnsi" w:hAnsiTheme="minorHAnsi" w:cstheme="minorHAnsi"/>
          <w:lang w:val="en-GB"/>
        </w:rPr>
        <w:t xml:space="preserve"> 4 cases, sellers breached their obligation to inform consumers about the entity of out-of-court settlement of consumer disputes, including</w:t>
      </w:r>
      <w:r w:rsidR="00B54678" w:rsidRPr="00B54678">
        <w:rPr>
          <w:rFonts w:asciiTheme="minorHAnsi" w:hAnsiTheme="minorHAnsi" w:cstheme="minorHAnsi"/>
          <w:lang w:val="en-GB"/>
        </w:rPr>
        <w:t xml:space="preserve"> a</w:t>
      </w:r>
      <w:r w:rsidRPr="00B54678">
        <w:rPr>
          <w:rFonts w:asciiTheme="minorHAnsi" w:hAnsiTheme="minorHAnsi" w:cstheme="minorHAnsi"/>
          <w:lang w:val="en-GB"/>
        </w:rPr>
        <w:t xml:space="preserve"> website if they operate </w:t>
      </w:r>
      <w:r w:rsidR="00B54678" w:rsidRPr="00B54678">
        <w:rPr>
          <w:rFonts w:asciiTheme="minorHAnsi" w:hAnsiTheme="minorHAnsi" w:cstheme="minorHAnsi"/>
          <w:lang w:val="en-GB"/>
        </w:rPr>
        <w:t>one (</w:t>
      </w:r>
      <w:r w:rsidR="00B54678" w:rsidRPr="00B54678">
        <w:rPr>
          <w:rFonts w:asciiTheme="minorHAnsi" w:hAnsiTheme="minorHAnsi" w:cstheme="minorHAnsi"/>
          <w:lang w:val="en-GB"/>
        </w:rPr>
        <w:t>Section</w:t>
      </w:r>
      <w:r w:rsidR="00B54678" w:rsidRPr="00B54678">
        <w:rPr>
          <w:rFonts w:asciiTheme="minorHAnsi" w:hAnsiTheme="minorHAnsi" w:cstheme="minorHAnsi"/>
          <w:lang w:val="en-GB"/>
        </w:rPr>
        <w:t xml:space="preserve"> 14 para. 1);</w:t>
      </w:r>
    </w:p>
    <w:p w14:paraId="56649B46" w14:textId="07A34760" w:rsidR="00720413" w:rsidRPr="00B54678" w:rsidRDefault="00720413" w:rsidP="00720413">
      <w:pPr>
        <w:spacing w:after="120"/>
        <w:ind w:left="426"/>
        <w:jc w:val="both"/>
        <w:rPr>
          <w:rFonts w:asciiTheme="minorHAnsi" w:hAnsiTheme="minorHAnsi" w:cstheme="minorHAnsi"/>
          <w:lang w:val="en-GB"/>
        </w:rPr>
      </w:pPr>
      <w:r w:rsidRPr="00B54678">
        <w:rPr>
          <w:rFonts w:asciiTheme="minorHAnsi" w:hAnsiTheme="minorHAnsi" w:cstheme="minorHAnsi"/>
          <w:lang w:val="en-GB"/>
        </w:rPr>
        <w:t xml:space="preserve">• </w:t>
      </w:r>
      <w:proofErr w:type="gramStart"/>
      <w:r w:rsidRPr="00B54678">
        <w:rPr>
          <w:rFonts w:asciiTheme="minorHAnsi" w:hAnsiTheme="minorHAnsi" w:cstheme="minorHAnsi"/>
          <w:lang w:val="en-GB"/>
        </w:rPr>
        <w:t>in</w:t>
      </w:r>
      <w:proofErr w:type="gramEnd"/>
      <w:r w:rsidRPr="00B54678">
        <w:rPr>
          <w:rFonts w:asciiTheme="minorHAnsi" w:hAnsiTheme="minorHAnsi" w:cstheme="minorHAnsi"/>
          <w:lang w:val="en-GB"/>
        </w:rPr>
        <w:t xml:space="preserve"> 1 case, the consumer was not familiar with the price of the offered service in accordance with pric</w:t>
      </w:r>
      <w:r w:rsidR="00B54678" w:rsidRPr="00B54678">
        <w:rPr>
          <w:rFonts w:asciiTheme="minorHAnsi" w:hAnsiTheme="minorHAnsi" w:cstheme="minorHAnsi"/>
          <w:lang w:val="en-GB"/>
        </w:rPr>
        <w:t>ing regulations</w:t>
      </w:r>
      <w:r w:rsidRPr="00B54678">
        <w:rPr>
          <w:rFonts w:asciiTheme="minorHAnsi" w:hAnsiTheme="minorHAnsi" w:cstheme="minorHAnsi"/>
          <w:lang w:val="en-GB"/>
        </w:rPr>
        <w:t xml:space="preserve"> (</w:t>
      </w:r>
      <w:r w:rsidR="00B54678" w:rsidRPr="00B54678">
        <w:rPr>
          <w:rFonts w:asciiTheme="minorHAnsi" w:hAnsiTheme="minorHAnsi" w:cstheme="minorHAnsi"/>
          <w:lang w:val="en-GB"/>
        </w:rPr>
        <w:t>Section</w:t>
      </w:r>
      <w:r w:rsidRPr="00B54678">
        <w:rPr>
          <w:rFonts w:asciiTheme="minorHAnsi" w:hAnsiTheme="minorHAnsi" w:cstheme="minorHAnsi"/>
          <w:lang w:val="en-GB"/>
        </w:rPr>
        <w:t xml:space="preserve"> 12)</w:t>
      </w:r>
      <w:r w:rsidR="00B54678" w:rsidRPr="00B54678">
        <w:rPr>
          <w:rFonts w:asciiTheme="minorHAnsi" w:hAnsiTheme="minorHAnsi" w:cstheme="minorHAnsi"/>
          <w:lang w:val="en-GB"/>
        </w:rPr>
        <w:t>;</w:t>
      </w:r>
    </w:p>
    <w:p w14:paraId="5519F301" w14:textId="7F7C4CB7" w:rsidR="00720413" w:rsidRPr="00B54678" w:rsidRDefault="00720413" w:rsidP="00720413">
      <w:pPr>
        <w:spacing w:after="120"/>
        <w:ind w:left="426"/>
        <w:jc w:val="both"/>
        <w:rPr>
          <w:rFonts w:asciiTheme="minorHAnsi" w:hAnsiTheme="minorHAnsi" w:cstheme="minorHAnsi"/>
          <w:lang w:val="en-GB"/>
        </w:rPr>
      </w:pPr>
      <w:r w:rsidRPr="00B54678">
        <w:rPr>
          <w:rFonts w:asciiTheme="minorHAnsi" w:hAnsiTheme="minorHAnsi" w:cstheme="minorHAnsi"/>
          <w:lang w:val="en-GB"/>
        </w:rPr>
        <w:lastRenderedPageBreak/>
        <w:t xml:space="preserve">• </w:t>
      </w:r>
      <w:proofErr w:type="gramStart"/>
      <w:r w:rsidRPr="00B54678">
        <w:rPr>
          <w:rFonts w:asciiTheme="minorHAnsi" w:hAnsiTheme="minorHAnsi" w:cstheme="minorHAnsi"/>
          <w:lang w:val="en-GB"/>
        </w:rPr>
        <w:t>in</w:t>
      </w:r>
      <w:proofErr w:type="gramEnd"/>
      <w:r w:rsidRPr="00B54678">
        <w:rPr>
          <w:rFonts w:asciiTheme="minorHAnsi" w:hAnsiTheme="minorHAnsi" w:cstheme="minorHAnsi"/>
          <w:lang w:val="en-GB"/>
        </w:rPr>
        <w:t xml:space="preserve"> 1 case, the seller did not properly inform the consumer about the characteristics of the products or services sold (</w:t>
      </w:r>
      <w:r w:rsidR="00B54678" w:rsidRPr="00B54678">
        <w:rPr>
          <w:rFonts w:asciiTheme="minorHAnsi" w:hAnsiTheme="minorHAnsi" w:cstheme="minorHAnsi"/>
          <w:lang w:val="en-GB"/>
        </w:rPr>
        <w:t>Section</w:t>
      </w:r>
      <w:r w:rsidRPr="00B54678">
        <w:rPr>
          <w:rFonts w:asciiTheme="minorHAnsi" w:hAnsiTheme="minorHAnsi" w:cstheme="minorHAnsi"/>
          <w:lang w:val="en-GB"/>
        </w:rPr>
        <w:t xml:space="preserve"> 9(1)</w:t>
      </w:r>
      <w:r w:rsidR="00B54678" w:rsidRPr="00B54678">
        <w:rPr>
          <w:rFonts w:asciiTheme="minorHAnsi" w:hAnsiTheme="minorHAnsi" w:cstheme="minorHAnsi"/>
          <w:lang w:val="en-GB"/>
        </w:rPr>
        <w:t>.</w:t>
      </w:r>
    </w:p>
    <w:p w14:paraId="27D46694" w14:textId="77777777" w:rsidR="00720413" w:rsidRPr="00B54678" w:rsidRDefault="00720413" w:rsidP="005A4EF8">
      <w:pPr>
        <w:spacing w:after="120"/>
        <w:jc w:val="both"/>
        <w:rPr>
          <w:rFonts w:asciiTheme="minorHAnsi" w:hAnsiTheme="minorHAnsi" w:cstheme="minorHAnsi"/>
          <w:lang w:val="en-GB"/>
        </w:rPr>
      </w:pPr>
    </w:p>
    <w:p w14:paraId="602A051D" w14:textId="77777777" w:rsidR="00B54678" w:rsidRPr="00B54678" w:rsidRDefault="00B54678" w:rsidP="00B54678">
      <w:pPr>
        <w:spacing w:before="120" w:after="120"/>
        <w:jc w:val="both"/>
        <w:rPr>
          <w:rFonts w:asciiTheme="minorHAnsi" w:hAnsiTheme="minorHAnsi" w:cstheme="minorHAnsi"/>
          <w:b/>
          <w:lang w:val="en-GB"/>
        </w:rPr>
      </w:pPr>
      <w:r w:rsidRPr="00B54678">
        <w:rPr>
          <w:rFonts w:asciiTheme="minorHAnsi" w:hAnsiTheme="minorHAnsi" w:cstheme="minorHAnsi"/>
          <w:b/>
          <w:lang w:val="en-GB"/>
        </w:rPr>
        <w:t>Measures imposed</w:t>
      </w:r>
    </w:p>
    <w:p w14:paraId="471322EB" w14:textId="1A7417CC" w:rsidR="00B54678" w:rsidRPr="00B54678" w:rsidRDefault="00B54678" w:rsidP="00B54678">
      <w:pPr>
        <w:spacing w:before="120" w:after="120"/>
        <w:jc w:val="both"/>
        <w:rPr>
          <w:rFonts w:asciiTheme="minorHAnsi" w:hAnsiTheme="minorHAnsi" w:cstheme="minorHAnsi"/>
          <w:lang w:val="en-GB"/>
        </w:rPr>
      </w:pPr>
      <w:r w:rsidRPr="00B54678">
        <w:rPr>
          <w:rFonts w:asciiTheme="minorHAnsi" w:hAnsiTheme="minorHAnsi" w:cstheme="minorHAnsi"/>
          <w:lang w:val="en-GB"/>
        </w:rPr>
        <w:t xml:space="preserve">In 2020, the Czech Trade Inspection Authority </w:t>
      </w:r>
      <w:r w:rsidRPr="00B54678">
        <w:rPr>
          <w:rFonts w:asciiTheme="minorHAnsi" w:hAnsiTheme="minorHAnsi" w:cstheme="minorHAnsi"/>
          <w:lang w:val="en-GB"/>
        </w:rPr>
        <w:t>lawfully</w:t>
      </w:r>
      <w:r w:rsidRPr="00B54678">
        <w:rPr>
          <w:rFonts w:asciiTheme="minorHAnsi" w:hAnsiTheme="minorHAnsi" w:cstheme="minorHAnsi"/>
          <w:lang w:val="en-GB"/>
        </w:rPr>
        <w:t xml:space="preserve"> imposed 21 fines totalling CZK 5,535,000. </w:t>
      </w:r>
    </w:p>
    <w:p w14:paraId="442F751A" w14:textId="7F53BE54" w:rsidR="00B54678" w:rsidRPr="00B54678" w:rsidRDefault="00B54678" w:rsidP="00B54678">
      <w:pPr>
        <w:spacing w:before="120" w:after="120"/>
        <w:jc w:val="both"/>
        <w:rPr>
          <w:rFonts w:asciiTheme="minorHAnsi" w:hAnsiTheme="minorHAnsi" w:cstheme="minorHAnsi"/>
          <w:lang w:val="en-GB"/>
        </w:rPr>
      </w:pPr>
      <w:r w:rsidRPr="00B54678">
        <w:rPr>
          <w:rFonts w:asciiTheme="minorHAnsi" w:hAnsiTheme="minorHAnsi" w:cstheme="minorHAnsi"/>
          <w:lang w:val="en-GB"/>
        </w:rPr>
        <w:t xml:space="preserve">The highest final fine in 2020, </w:t>
      </w:r>
      <w:proofErr w:type="gramStart"/>
      <w:r w:rsidRPr="00B54678">
        <w:rPr>
          <w:rFonts w:asciiTheme="minorHAnsi" w:hAnsiTheme="minorHAnsi" w:cstheme="minorHAnsi"/>
          <w:lang w:val="en-GB"/>
        </w:rPr>
        <w:t>in the amount of</w:t>
      </w:r>
      <w:proofErr w:type="gramEnd"/>
      <w:r w:rsidRPr="00B54678">
        <w:rPr>
          <w:rFonts w:asciiTheme="minorHAnsi" w:hAnsiTheme="minorHAnsi" w:cstheme="minorHAnsi"/>
          <w:lang w:val="en-GB"/>
        </w:rPr>
        <w:t xml:space="preserve"> CZK 1,200,000, was imposed on </w:t>
      </w:r>
      <w:proofErr w:type="spellStart"/>
      <w:r w:rsidRPr="00B54678">
        <w:rPr>
          <w:rFonts w:asciiTheme="minorHAnsi" w:hAnsiTheme="minorHAnsi" w:cstheme="minorHAnsi"/>
          <w:lang w:val="en-GB"/>
        </w:rPr>
        <w:t>Česká</w:t>
      </w:r>
      <w:proofErr w:type="spellEnd"/>
      <w:r w:rsidRPr="00B54678">
        <w:rPr>
          <w:rFonts w:asciiTheme="minorHAnsi" w:hAnsiTheme="minorHAnsi" w:cstheme="minorHAnsi"/>
          <w:lang w:val="en-GB"/>
        </w:rPr>
        <w:t xml:space="preserve"> </w:t>
      </w:r>
      <w:proofErr w:type="spellStart"/>
      <w:r w:rsidRPr="00B54678">
        <w:rPr>
          <w:rFonts w:asciiTheme="minorHAnsi" w:hAnsiTheme="minorHAnsi" w:cstheme="minorHAnsi"/>
          <w:lang w:val="en-GB"/>
        </w:rPr>
        <w:t>aukční</w:t>
      </w:r>
      <w:proofErr w:type="spellEnd"/>
      <w:r w:rsidRPr="00B54678">
        <w:rPr>
          <w:rFonts w:asciiTheme="minorHAnsi" w:hAnsiTheme="minorHAnsi" w:cstheme="minorHAnsi"/>
          <w:lang w:val="en-GB"/>
        </w:rPr>
        <w:t xml:space="preserve"> </w:t>
      </w:r>
      <w:proofErr w:type="spellStart"/>
      <w:r w:rsidRPr="00B54678">
        <w:rPr>
          <w:rFonts w:asciiTheme="minorHAnsi" w:hAnsiTheme="minorHAnsi" w:cstheme="minorHAnsi"/>
          <w:lang w:val="en-GB"/>
        </w:rPr>
        <w:t>energetická</w:t>
      </w:r>
      <w:proofErr w:type="spellEnd"/>
      <w:r w:rsidRPr="00B54678">
        <w:rPr>
          <w:rFonts w:asciiTheme="minorHAnsi" w:hAnsiTheme="minorHAnsi" w:cstheme="minorHAnsi"/>
          <w:lang w:val="en-GB"/>
        </w:rPr>
        <w:t xml:space="preserve"> s.r.o. for, among other things, the fact that in a number of </w:t>
      </w:r>
      <w:r w:rsidRPr="00B54678">
        <w:rPr>
          <w:rFonts w:asciiTheme="minorHAnsi" w:hAnsiTheme="minorHAnsi" w:cstheme="minorHAnsi"/>
          <w:lang w:val="en-GB"/>
        </w:rPr>
        <w:t xml:space="preserve">inspected </w:t>
      </w:r>
      <w:r w:rsidRPr="00B54678">
        <w:rPr>
          <w:rFonts w:asciiTheme="minorHAnsi" w:hAnsiTheme="minorHAnsi" w:cstheme="minorHAnsi"/>
          <w:lang w:val="en-GB"/>
        </w:rPr>
        <w:t>contracts</w:t>
      </w:r>
      <w:r w:rsidRPr="00B54678">
        <w:rPr>
          <w:rFonts w:asciiTheme="minorHAnsi" w:hAnsiTheme="minorHAnsi" w:cstheme="minorHAnsi"/>
          <w:lang w:val="en-GB"/>
        </w:rPr>
        <w:t xml:space="preserve"> with</w:t>
      </w:r>
      <w:r w:rsidRPr="00B54678">
        <w:rPr>
          <w:rFonts w:asciiTheme="minorHAnsi" w:hAnsiTheme="minorHAnsi" w:cstheme="minorHAnsi"/>
          <w:lang w:val="en-GB"/>
        </w:rPr>
        <w:t xml:space="preserve"> consumers </w:t>
      </w:r>
      <w:r w:rsidRPr="00B54678">
        <w:rPr>
          <w:rFonts w:asciiTheme="minorHAnsi" w:hAnsiTheme="minorHAnsi" w:cstheme="minorHAnsi"/>
          <w:lang w:val="en-GB"/>
        </w:rPr>
        <w:t xml:space="preserve">they used </w:t>
      </w:r>
      <w:r w:rsidRPr="00B54678">
        <w:rPr>
          <w:rFonts w:asciiTheme="minorHAnsi" w:hAnsiTheme="minorHAnsi" w:cstheme="minorHAnsi"/>
          <w:lang w:val="en-GB"/>
        </w:rPr>
        <w:t>unfair commercial practices</w:t>
      </w:r>
      <w:r w:rsidRPr="00B54678">
        <w:rPr>
          <w:rFonts w:asciiTheme="minorHAnsi" w:hAnsiTheme="minorHAnsi" w:cstheme="minorHAnsi"/>
          <w:lang w:val="en-GB"/>
        </w:rPr>
        <w:t>. Th</w:t>
      </w:r>
      <w:r w:rsidRPr="00B54678">
        <w:rPr>
          <w:rFonts w:asciiTheme="minorHAnsi" w:hAnsiTheme="minorHAnsi" w:cstheme="minorHAnsi"/>
          <w:lang w:val="en-GB"/>
        </w:rPr>
        <w:t>ey used contracts containing an illegal article that, under a contractual penalty of CZK 3</w:t>
      </w:r>
      <w:r w:rsidRPr="00B54678">
        <w:rPr>
          <w:rFonts w:asciiTheme="minorHAnsi" w:hAnsiTheme="minorHAnsi" w:cstheme="minorHAnsi"/>
          <w:lang w:val="en-GB"/>
        </w:rPr>
        <w:t>,</w:t>
      </w:r>
      <w:r w:rsidRPr="00B54678">
        <w:rPr>
          <w:rFonts w:asciiTheme="minorHAnsi" w:hAnsiTheme="minorHAnsi" w:cstheme="minorHAnsi"/>
          <w:lang w:val="en-GB"/>
        </w:rPr>
        <w:t xml:space="preserve">000, prevented clients from withdrawing from the contract within legal deadlines. In addition, information on the new price was given in an unclear </w:t>
      </w:r>
      <w:proofErr w:type="gramStart"/>
      <w:r w:rsidRPr="00B54678">
        <w:rPr>
          <w:rFonts w:asciiTheme="minorHAnsi" w:hAnsiTheme="minorHAnsi" w:cstheme="minorHAnsi"/>
          <w:lang w:val="en-GB"/>
        </w:rPr>
        <w:t>manner,</w:t>
      </w:r>
      <w:proofErr w:type="gramEnd"/>
      <w:r w:rsidRPr="00B54678">
        <w:rPr>
          <w:rFonts w:asciiTheme="minorHAnsi" w:hAnsiTheme="minorHAnsi" w:cstheme="minorHAnsi"/>
          <w:lang w:val="en-GB"/>
        </w:rPr>
        <w:t xml:space="preserve"> prices were excluding VAT, etc. </w:t>
      </w:r>
    </w:p>
    <w:p w14:paraId="354AEACE" w14:textId="07FFB7E7" w:rsidR="00B54678" w:rsidRPr="00B54678" w:rsidRDefault="00B54678" w:rsidP="00B54678">
      <w:pPr>
        <w:spacing w:before="120" w:after="120"/>
        <w:jc w:val="both"/>
        <w:rPr>
          <w:rFonts w:asciiTheme="minorHAnsi" w:hAnsiTheme="minorHAnsi" w:cstheme="minorHAnsi"/>
          <w:lang w:val="en-GB"/>
        </w:rPr>
      </w:pPr>
      <w:r w:rsidRPr="00B54678">
        <w:rPr>
          <w:rFonts w:asciiTheme="minorHAnsi" w:hAnsiTheme="minorHAnsi" w:cstheme="minorHAnsi"/>
          <w:lang w:val="en-GB"/>
        </w:rPr>
        <w:t xml:space="preserve">The second highest final fine of CZK 1,000,000 </w:t>
      </w:r>
      <w:proofErr w:type="gramStart"/>
      <w:r w:rsidRPr="00B54678">
        <w:rPr>
          <w:rFonts w:asciiTheme="minorHAnsi" w:hAnsiTheme="minorHAnsi" w:cstheme="minorHAnsi"/>
          <w:lang w:val="en-GB"/>
        </w:rPr>
        <w:t>was imposed</w:t>
      </w:r>
      <w:proofErr w:type="gramEnd"/>
      <w:r w:rsidRPr="00B54678">
        <w:rPr>
          <w:rFonts w:asciiTheme="minorHAnsi" w:hAnsiTheme="minorHAnsi" w:cstheme="minorHAnsi"/>
          <w:lang w:val="en-GB"/>
        </w:rPr>
        <w:t xml:space="preserve"> on </w:t>
      </w:r>
      <w:proofErr w:type="spellStart"/>
      <w:r w:rsidRPr="00B54678">
        <w:rPr>
          <w:rFonts w:asciiTheme="minorHAnsi" w:hAnsiTheme="minorHAnsi" w:cstheme="minorHAnsi"/>
          <w:lang w:val="en-GB"/>
        </w:rPr>
        <w:t>Česká</w:t>
      </w:r>
      <w:proofErr w:type="spellEnd"/>
      <w:r w:rsidRPr="00B54678">
        <w:rPr>
          <w:rFonts w:asciiTheme="minorHAnsi" w:hAnsiTheme="minorHAnsi" w:cstheme="minorHAnsi"/>
          <w:lang w:val="en-GB"/>
        </w:rPr>
        <w:t xml:space="preserve"> </w:t>
      </w:r>
      <w:proofErr w:type="spellStart"/>
      <w:r w:rsidRPr="00B54678">
        <w:rPr>
          <w:rFonts w:asciiTheme="minorHAnsi" w:hAnsiTheme="minorHAnsi" w:cstheme="minorHAnsi"/>
          <w:lang w:val="en-GB"/>
        </w:rPr>
        <w:t>aukce</w:t>
      </w:r>
      <w:proofErr w:type="spellEnd"/>
      <w:r w:rsidRPr="00B54678">
        <w:rPr>
          <w:rFonts w:asciiTheme="minorHAnsi" w:hAnsiTheme="minorHAnsi" w:cstheme="minorHAnsi"/>
          <w:lang w:val="en-GB"/>
        </w:rPr>
        <w:t xml:space="preserve"> s.r.o., among other things, for having engaged in unfair commercial practice</w:t>
      </w:r>
      <w:r w:rsidRPr="00B54678">
        <w:rPr>
          <w:rFonts w:asciiTheme="minorHAnsi" w:hAnsiTheme="minorHAnsi" w:cstheme="minorHAnsi"/>
          <w:lang w:val="en-GB"/>
        </w:rPr>
        <w:t xml:space="preserve">s. They </w:t>
      </w:r>
      <w:r w:rsidRPr="00B54678">
        <w:rPr>
          <w:rFonts w:asciiTheme="minorHAnsi" w:hAnsiTheme="minorHAnsi" w:cstheme="minorHAnsi"/>
          <w:lang w:val="en-GB"/>
        </w:rPr>
        <w:t>used contracts containing an illegal article that, under a contractual penalty, prevented clients from withdrawing from the contract within the statutory deadlines.</w:t>
      </w:r>
    </w:p>
    <w:sectPr w:rsidR="00B54678" w:rsidRPr="00B54678" w:rsidSect="00362969">
      <w:footerReference w:type="default" r:id="rId9"/>
      <w:pgSz w:w="12240" w:h="15800"/>
      <w:pgMar w:top="1417" w:right="1417" w:bottom="1417" w:left="1417" w:header="113" w:footer="0"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04AE9" w16cex:dateUtc="2021-01-30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D3E6CA" w16cid:durableId="23C04A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79245" w14:textId="77777777" w:rsidR="00F61164" w:rsidRDefault="00F61164" w:rsidP="00185D99">
      <w:r>
        <w:separator/>
      </w:r>
    </w:p>
  </w:endnote>
  <w:endnote w:type="continuationSeparator" w:id="0">
    <w:p w14:paraId="221BFCF6" w14:textId="77777777" w:rsidR="00F61164" w:rsidRDefault="00F61164" w:rsidP="0018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9B0BF" w14:textId="71A078F9" w:rsidR="00A16A5B" w:rsidRPr="00702098" w:rsidRDefault="00702098" w:rsidP="00702098">
    <w:pPr>
      <w:pStyle w:val="Zpat"/>
      <w:rPr>
        <w:lang w:val="en-GB"/>
      </w:rPr>
    </w:pPr>
    <w:r w:rsidRPr="006E4950">
      <w:rPr>
        <w:b/>
        <w:i/>
        <w:color w:val="808080"/>
        <w:sz w:val="18"/>
        <w:szCs w:val="18"/>
        <w:lang w:val="en-GB"/>
      </w:rPr>
      <w:t>Contact:</w:t>
    </w:r>
    <w:r>
      <w:rPr>
        <w:b/>
        <w:i/>
        <w:color w:val="808080"/>
        <w:sz w:val="18"/>
        <w:szCs w:val="18"/>
        <w:lang w:val="en-GB"/>
      </w:rPr>
      <w:t xml:space="preserve">       </w:t>
    </w:r>
    <w:r w:rsidRPr="00E87AFF">
      <w:rPr>
        <w:color w:val="808080"/>
        <w:sz w:val="18"/>
        <w:szCs w:val="18"/>
        <w:lang w:val="en-GB"/>
      </w:rPr>
      <w:t>Spokesperson of the CTIA</w:t>
    </w:r>
    <w:r w:rsidRPr="006E4950">
      <w:rPr>
        <w:color w:val="808080"/>
        <w:sz w:val="18"/>
        <w:szCs w:val="18"/>
        <w:lang w:val="en-GB"/>
      </w:rPr>
      <w:tab/>
      <w:t xml:space="preserve">                                                            </w:t>
    </w:r>
    <w:r w:rsidRPr="006E4950">
      <w:rPr>
        <w:b/>
        <w:i/>
        <w:color w:val="808080"/>
        <w:sz w:val="18"/>
        <w:szCs w:val="18"/>
        <w:lang w:val="en-GB"/>
      </w:rPr>
      <w:t>Phone:</w:t>
    </w:r>
    <w:r w:rsidRPr="006E4950">
      <w:rPr>
        <w:i/>
        <w:color w:val="808080"/>
        <w:sz w:val="18"/>
        <w:szCs w:val="18"/>
        <w:lang w:val="en-GB"/>
      </w:rPr>
      <w:tab/>
      <w:t xml:space="preserve">+420 296 366 233  </w:t>
    </w:r>
    <w:r w:rsidRPr="006E4950">
      <w:rPr>
        <w:color w:val="808080"/>
        <w:sz w:val="18"/>
        <w:szCs w:val="18"/>
        <w:lang w:val="en-GB"/>
      </w:rPr>
      <w:br/>
    </w:r>
    <w:r>
      <w:rPr>
        <w:color w:val="808080"/>
        <w:sz w:val="18"/>
        <w:szCs w:val="18"/>
        <w:lang w:val="en-GB"/>
      </w:rPr>
      <w:t xml:space="preserve">                       </w:t>
    </w:r>
    <w:r w:rsidRPr="006E4950">
      <w:rPr>
        <w:color w:val="808080"/>
        <w:sz w:val="18"/>
        <w:szCs w:val="18"/>
        <w:lang w:val="en-GB"/>
      </w:rPr>
      <w:t>Mgr. Jiří Fröhlich</w:t>
    </w:r>
    <w:r w:rsidRPr="006E4950">
      <w:rPr>
        <w:i/>
        <w:color w:val="808080"/>
        <w:sz w:val="18"/>
        <w:szCs w:val="18"/>
        <w:lang w:val="en-GB"/>
      </w:rPr>
      <w:tab/>
      <w:t xml:space="preserve">                                                            </w:t>
    </w:r>
    <w:r w:rsidRPr="006E4950">
      <w:rPr>
        <w:b/>
        <w:i/>
        <w:color w:val="808080"/>
        <w:sz w:val="18"/>
        <w:szCs w:val="18"/>
        <w:lang w:val="en-GB"/>
      </w:rPr>
      <w:t>Mobile:</w:t>
    </w:r>
    <w:r w:rsidRPr="006E4950">
      <w:rPr>
        <w:i/>
        <w:color w:val="808080"/>
        <w:sz w:val="18"/>
        <w:szCs w:val="18"/>
        <w:lang w:val="en-GB"/>
      </w:rPr>
      <w:t xml:space="preserve"> </w:t>
    </w:r>
    <w:r w:rsidRPr="006E4950">
      <w:rPr>
        <w:i/>
        <w:color w:val="808080"/>
        <w:sz w:val="18"/>
        <w:szCs w:val="18"/>
        <w:lang w:val="en-GB"/>
      </w:rPr>
      <w:tab/>
      <w:t>+420 602 105 376</w:t>
    </w:r>
    <w:r w:rsidRPr="006E4950">
      <w:rPr>
        <w:i/>
        <w:color w:val="808080"/>
        <w:sz w:val="18"/>
        <w:szCs w:val="18"/>
        <w:lang w:val="en-GB"/>
      </w:rPr>
      <w:br/>
    </w:r>
    <w:r w:rsidRPr="006E4950">
      <w:rPr>
        <w:i/>
        <w:color w:val="808080"/>
        <w:sz w:val="18"/>
        <w:szCs w:val="18"/>
        <w:lang w:val="en-GB"/>
      </w:rPr>
      <w:tab/>
      <w:t xml:space="preserve">                                                            </w:t>
    </w:r>
    <w:r w:rsidRPr="006E4950">
      <w:rPr>
        <w:b/>
        <w:i/>
        <w:color w:val="808080"/>
        <w:sz w:val="18"/>
        <w:szCs w:val="18"/>
        <w:lang w:val="en-GB"/>
      </w:rPr>
      <w:t>E-mail:</w:t>
    </w:r>
    <w:r w:rsidRPr="006E4950">
      <w:rPr>
        <w:i/>
        <w:color w:val="808080"/>
        <w:sz w:val="18"/>
        <w:szCs w:val="18"/>
        <w:lang w:val="en-GB"/>
      </w:rPr>
      <w:tab/>
      <w:t>mluvci@coi.cz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BFEE4" w14:textId="77777777" w:rsidR="00F61164" w:rsidRDefault="00F61164" w:rsidP="00185D99">
      <w:r>
        <w:separator/>
      </w:r>
    </w:p>
  </w:footnote>
  <w:footnote w:type="continuationSeparator" w:id="0">
    <w:p w14:paraId="4B5D4795" w14:textId="77777777" w:rsidR="00F61164" w:rsidRDefault="00F61164" w:rsidP="00185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A4E"/>
    <w:multiLevelType w:val="hybridMultilevel"/>
    <w:tmpl w:val="56546E02"/>
    <w:lvl w:ilvl="0" w:tplc="47063CE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30630"/>
    <w:multiLevelType w:val="multilevel"/>
    <w:tmpl w:val="9E56D7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2C4E4C"/>
    <w:multiLevelType w:val="hybridMultilevel"/>
    <w:tmpl w:val="034A8C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5A69C9"/>
    <w:multiLevelType w:val="hybridMultilevel"/>
    <w:tmpl w:val="8C6C6C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9E401B7"/>
    <w:multiLevelType w:val="hybridMultilevel"/>
    <w:tmpl w:val="E21E1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EE6540"/>
    <w:multiLevelType w:val="hybridMultilevel"/>
    <w:tmpl w:val="48901C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0E3739"/>
    <w:multiLevelType w:val="hybridMultilevel"/>
    <w:tmpl w:val="638C7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ED3E89"/>
    <w:multiLevelType w:val="hybridMultilevel"/>
    <w:tmpl w:val="A80E8D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6A6CA0"/>
    <w:multiLevelType w:val="hybridMultilevel"/>
    <w:tmpl w:val="2B166E5C"/>
    <w:lvl w:ilvl="0" w:tplc="BFDCDC12">
      <w:numFmt w:val="bullet"/>
      <w:lvlText w:val="-"/>
      <w:lvlJc w:val="left"/>
      <w:pPr>
        <w:ind w:left="420" w:hanging="360"/>
      </w:pPr>
      <w:rPr>
        <w:rFonts w:ascii="Times New Roman" w:eastAsia="Times New Roman" w:hAnsi="Times New Roman" w:cs="Times New Roman" w:hint="default"/>
        <w:b w:val="0"/>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9" w15:restartNumberingAfterBreak="0">
    <w:nsid w:val="22931A01"/>
    <w:multiLevelType w:val="hybridMultilevel"/>
    <w:tmpl w:val="B4BE8C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9304DAB"/>
    <w:multiLevelType w:val="hybridMultilevel"/>
    <w:tmpl w:val="ACAA95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E56DF"/>
    <w:multiLevelType w:val="hybridMultilevel"/>
    <w:tmpl w:val="CB10E20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4A01105"/>
    <w:multiLevelType w:val="hybridMultilevel"/>
    <w:tmpl w:val="5296B4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4E5CF9"/>
    <w:multiLevelType w:val="hybridMultilevel"/>
    <w:tmpl w:val="456804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B8649E"/>
    <w:multiLevelType w:val="hybridMultilevel"/>
    <w:tmpl w:val="9E56D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7E77F1"/>
    <w:multiLevelType w:val="hybridMultilevel"/>
    <w:tmpl w:val="59AED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703B91"/>
    <w:multiLevelType w:val="hybridMultilevel"/>
    <w:tmpl w:val="F6AE0D16"/>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5010092"/>
    <w:multiLevelType w:val="hybridMultilevel"/>
    <w:tmpl w:val="AD644B26"/>
    <w:lvl w:ilvl="0" w:tplc="E45EA7D8">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02459C"/>
    <w:multiLevelType w:val="hybridMultilevel"/>
    <w:tmpl w:val="BF26C2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064F24"/>
    <w:multiLevelType w:val="hybridMultilevel"/>
    <w:tmpl w:val="DD78E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955340"/>
    <w:multiLevelType w:val="hybridMultilevel"/>
    <w:tmpl w:val="893426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3FE6E50"/>
    <w:multiLevelType w:val="hybridMultilevel"/>
    <w:tmpl w:val="E80E1082"/>
    <w:lvl w:ilvl="0" w:tplc="6E0E86FC">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A2A4B21"/>
    <w:multiLevelType w:val="hybridMultilevel"/>
    <w:tmpl w:val="EFC4CD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D57626"/>
    <w:multiLevelType w:val="hybridMultilevel"/>
    <w:tmpl w:val="B1E412A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C21CED"/>
    <w:multiLevelType w:val="hybridMultilevel"/>
    <w:tmpl w:val="E312DA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E680C7F"/>
    <w:multiLevelType w:val="hybridMultilevel"/>
    <w:tmpl w:val="4572A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4331A1"/>
    <w:multiLevelType w:val="hybridMultilevel"/>
    <w:tmpl w:val="40C406A4"/>
    <w:lvl w:ilvl="0" w:tplc="E45EA7D8">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21D3794"/>
    <w:multiLevelType w:val="hybridMultilevel"/>
    <w:tmpl w:val="B0ECCF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994148"/>
    <w:multiLevelType w:val="hybridMultilevel"/>
    <w:tmpl w:val="585C26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7104F9"/>
    <w:multiLevelType w:val="hybridMultilevel"/>
    <w:tmpl w:val="C9F447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AB2A02"/>
    <w:multiLevelType w:val="hybridMultilevel"/>
    <w:tmpl w:val="95765C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6C27599"/>
    <w:multiLevelType w:val="hybridMultilevel"/>
    <w:tmpl w:val="E2A677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8B345F"/>
    <w:multiLevelType w:val="hybridMultilevel"/>
    <w:tmpl w:val="C9869E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BA3807"/>
    <w:multiLevelType w:val="hybridMultilevel"/>
    <w:tmpl w:val="43D25C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C442AE2"/>
    <w:multiLevelType w:val="hybridMultilevel"/>
    <w:tmpl w:val="A5AC5A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E4B09A8"/>
    <w:multiLevelType w:val="hybridMultilevel"/>
    <w:tmpl w:val="EC7E3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AB2984"/>
    <w:multiLevelType w:val="hybridMultilevel"/>
    <w:tmpl w:val="EF8EB6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714956DD"/>
    <w:multiLevelType w:val="hybridMultilevel"/>
    <w:tmpl w:val="FF88C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1727321"/>
    <w:multiLevelType w:val="hybridMultilevel"/>
    <w:tmpl w:val="10AA8FC0"/>
    <w:lvl w:ilvl="0" w:tplc="8FCE5D5C">
      <w:numFmt w:val="bullet"/>
      <w:lvlText w:val="-"/>
      <w:lvlJc w:val="left"/>
      <w:pPr>
        <w:ind w:left="720" w:hanging="360"/>
      </w:pPr>
      <w:rPr>
        <w:rFonts w:ascii="Arial" w:eastAsia="Calibri"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BE45A3"/>
    <w:multiLevelType w:val="hybridMultilevel"/>
    <w:tmpl w:val="972E5E8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3270158"/>
    <w:multiLevelType w:val="hybridMultilevel"/>
    <w:tmpl w:val="57AE28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86E7042"/>
    <w:multiLevelType w:val="hybridMultilevel"/>
    <w:tmpl w:val="B34CDB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12"/>
  </w:num>
  <w:num w:numId="4">
    <w:abstractNumId w:val="29"/>
  </w:num>
  <w:num w:numId="5">
    <w:abstractNumId w:val="34"/>
  </w:num>
  <w:num w:numId="6">
    <w:abstractNumId w:val="3"/>
  </w:num>
  <w:num w:numId="7">
    <w:abstractNumId w:val="11"/>
  </w:num>
  <w:num w:numId="8">
    <w:abstractNumId w:val="10"/>
  </w:num>
  <w:num w:numId="9">
    <w:abstractNumId w:val="32"/>
  </w:num>
  <w:num w:numId="10">
    <w:abstractNumId w:val="2"/>
  </w:num>
  <w:num w:numId="11">
    <w:abstractNumId w:val="21"/>
  </w:num>
  <w:num w:numId="12">
    <w:abstractNumId w:val="8"/>
  </w:num>
  <w:num w:numId="13">
    <w:abstractNumId w:val="25"/>
  </w:num>
  <w:num w:numId="14">
    <w:abstractNumId w:val="15"/>
  </w:num>
  <w:num w:numId="15">
    <w:abstractNumId w:val="23"/>
  </w:num>
  <w:num w:numId="16">
    <w:abstractNumId w:val="16"/>
  </w:num>
  <w:num w:numId="17">
    <w:abstractNumId w:val="16"/>
  </w:num>
  <w:num w:numId="18">
    <w:abstractNumId w:val="6"/>
  </w:num>
  <w:num w:numId="19">
    <w:abstractNumId w:val="39"/>
  </w:num>
  <w:num w:numId="20">
    <w:abstractNumId w:val="24"/>
  </w:num>
  <w:num w:numId="21">
    <w:abstractNumId w:val="20"/>
  </w:num>
  <w:num w:numId="22">
    <w:abstractNumId w:val="28"/>
  </w:num>
  <w:num w:numId="23">
    <w:abstractNumId w:val="19"/>
  </w:num>
  <w:num w:numId="24">
    <w:abstractNumId w:val="14"/>
  </w:num>
  <w:num w:numId="25">
    <w:abstractNumId w:val="1"/>
  </w:num>
  <w:num w:numId="26">
    <w:abstractNumId w:val="9"/>
  </w:num>
  <w:num w:numId="27">
    <w:abstractNumId w:val="4"/>
  </w:num>
  <w:num w:numId="28">
    <w:abstractNumId w:val="35"/>
  </w:num>
  <w:num w:numId="29">
    <w:abstractNumId w:val="22"/>
  </w:num>
  <w:num w:numId="30">
    <w:abstractNumId w:val="13"/>
  </w:num>
  <w:num w:numId="31">
    <w:abstractNumId w:val="37"/>
  </w:num>
  <w:num w:numId="32">
    <w:abstractNumId w:val="17"/>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8"/>
  </w:num>
  <w:num w:numId="36">
    <w:abstractNumId w:val="36"/>
  </w:num>
  <w:num w:numId="37">
    <w:abstractNumId w:val="7"/>
  </w:num>
  <w:num w:numId="38">
    <w:abstractNumId w:val="0"/>
  </w:num>
  <w:num w:numId="39">
    <w:abstractNumId w:val="40"/>
  </w:num>
  <w:num w:numId="40">
    <w:abstractNumId w:val="27"/>
  </w:num>
  <w:num w:numId="41">
    <w:abstractNumId w:val="31"/>
  </w:num>
  <w:num w:numId="42">
    <w:abstractNumId w:val="5"/>
  </w:num>
  <w:num w:numId="43">
    <w:abstractNumId w:val="33"/>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9"/>
  <w:drawingGridVerticalSpacing w:val="119"/>
  <w:displayHorizontalDrawingGridEvery w:val="0"/>
  <w:displayVerticalDrawingGridEvery w:val="3"/>
  <w:doNotUseMarginsForDrawingGridOrigin/>
  <w:drawingGridVerticalOrigin w:val="1985"/>
  <w:doNotShadeFormData/>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8A"/>
    <w:rsid w:val="0000308A"/>
    <w:rsid w:val="0000384A"/>
    <w:rsid w:val="00004B17"/>
    <w:rsid w:val="00004CEF"/>
    <w:rsid w:val="00013A78"/>
    <w:rsid w:val="00017E33"/>
    <w:rsid w:val="00022166"/>
    <w:rsid w:val="000262D6"/>
    <w:rsid w:val="0002632F"/>
    <w:rsid w:val="00030E4E"/>
    <w:rsid w:val="00041212"/>
    <w:rsid w:val="00042816"/>
    <w:rsid w:val="00044892"/>
    <w:rsid w:val="00046A6B"/>
    <w:rsid w:val="00047CCA"/>
    <w:rsid w:val="00057C66"/>
    <w:rsid w:val="000601B9"/>
    <w:rsid w:val="00060D18"/>
    <w:rsid w:val="00063861"/>
    <w:rsid w:val="00073323"/>
    <w:rsid w:val="00090E58"/>
    <w:rsid w:val="000940BC"/>
    <w:rsid w:val="000A16E0"/>
    <w:rsid w:val="000B07D7"/>
    <w:rsid w:val="000B21A0"/>
    <w:rsid w:val="000B5C40"/>
    <w:rsid w:val="000B603C"/>
    <w:rsid w:val="000B6A90"/>
    <w:rsid w:val="000C63E8"/>
    <w:rsid w:val="000C6921"/>
    <w:rsid w:val="000C6A8B"/>
    <w:rsid w:val="000C706B"/>
    <w:rsid w:val="000D06D3"/>
    <w:rsid w:val="000D4265"/>
    <w:rsid w:val="000D7B47"/>
    <w:rsid w:val="000E03F8"/>
    <w:rsid w:val="000E12C9"/>
    <w:rsid w:val="000E3E07"/>
    <w:rsid w:val="000E41C7"/>
    <w:rsid w:val="000F08F9"/>
    <w:rsid w:val="000F16D1"/>
    <w:rsid w:val="000F28A8"/>
    <w:rsid w:val="000F2C0C"/>
    <w:rsid w:val="000F3BE8"/>
    <w:rsid w:val="000F52A6"/>
    <w:rsid w:val="00100B4B"/>
    <w:rsid w:val="0010412D"/>
    <w:rsid w:val="001053AB"/>
    <w:rsid w:val="001140DC"/>
    <w:rsid w:val="0012106E"/>
    <w:rsid w:val="001224BB"/>
    <w:rsid w:val="001242CC"/>
    <w:rsid w:val="001271AA"/>
    <w:rsid w:val="00127737"/>
    <w:rsid w:val="0013173D"/>
    <w:rsid w:val="00135A96"/>
    <w:rsid w:val="00136ECC"/>
    <w:rsid w:val="00137876"/>
    <w:rsid w:val="00144E53"/>
    <w:rsid w:val="00146CDB"/>
    <w:rsid w:val="0015090F"/>
    <w:rsid w:val="001523F2"/>
    <w:rsid w:val="00153DBC"/>
    <w:rsid w:val="00160AE3"/>
    <w:rsid w:val="00162498"/>
    <w:rsid w:val="00165268"/>
    <w:rsid w:val="00166DBF"/>
    <w:rsid w:val="00167217"/>
    <w:rsid w:val="00167615"/>
    <w:rsid w:val="001676F1"/>
    <w:rsid w:val="0017592B"/>
    <w:rsid w:val="00175E7B"/>
    <w:rsid w:val="00181BEA"/>
    <w:rsid w:val="0018225C"/>
    <w:rsid w:val="001824BB"/>
    <w:rsid w:val="001824BC"/>
    <w:rsid w:val="00185919"/>
    <w:rsid w:val="00185D99"/>
    <w:rsid w:val="00197482"/>
    <w:rsid w:val="001A118F"/>
    <w:rsid w:val="001A39B1"/>
    <w:rsid w:val="001A51AD"/>
    <w:rsid w:val="001A5633"/>
    <w:rsid w:val="001A7E65"/>
    <w:rsid w:val="001B09D6"/>
    <w:rsid w:val="001B12FA"/>
    <w:rsid w:val="001B5F7D"/>
    <w:rsid w:val="001B7A7B"/>
    <w:rsid w:val="001C2FDA"/>
    <w:rsid w:val="001D1199"/>
    <w:rsid w:val="001D267F"/>
    <w:rsid w:val="001D2A21"/>
    <w:rsid w:val="001D414B"/>
    <w:rsid w:val="001E059D"/>
    <w:rsid w:val="001E228C"/>
    <w:rsid w:val="001E3459"/>
    <w:rsid w:val="001E43F2"/>
    <w:rsid w:val="001E563D"/>
    <w:rsid w:val="001E742B"/>
    <w:rsid w:val="001F2255"/>
    <w:rsid w:val="001F28AD"/>
    <w:rsid w:val="001F59E2"/>
    <w:rsid w:val="001F6608"/>
    <w:rsid w:val="00200294"/>
    <w:rsid w:val="00204135"/>
    <w:rsid w:val="00205FD0"/>
    <w:rsid w:val="00206FBC"/>
    <w:rsid w:val="00210F85"/>
    <w:rsid w:val="00212094"/>
    <w:rsid w:val="00216362"/>
    <w:rsid w:val="00217F70"/>
    <w:rsid w:val="00221C3C"/>
    <w:rsid w:val="00223387"/>
    <w:rsid w:val="00227461"/>
    <w:rsid w:val="0023075A"/>
    <w:rsid w:val="0024082F"/>
    <w:rsid w:val="002434A7"/>
    <w:rsid w:val="00244A3B"/>
    <w:rsid w:val="00246218"/>
    <w:rsid w:val="002516E7"/>
    <w:rsid w:val="00256358"/>
    <w:rsid w:val="00261259"/>
    <w:rsid w:val="00275730"/>
    <w:rsid w:val="00277452"/>
    <w:rsid w:val="00277C2B"/>
    <w:rsid w:val="00277DEC"/>
    <w:rsid w:val="002932B7"/>
    <w:rsid w:val="00293D34"/>
    <w:rsid w:val="00294CF5"/>
    <w:rsid w:val="00295D58"/>
    <w:rsid w:val="002A21C3"/>
    <w:rsid w:val="002A41CA"/>
    <w:rsid w:val="002A4DAE"/>
    <w:rsid w:val="002C2A53"/>
    <w:rsid w:val="002C35EB"/>
    <w:rsid w:val="002C466F"/>
    <w:rsid w:val="002D029E"/>
    <w:rsid w:val="002D1BB4"/>
    <w:rsid w:val="002D2CC1"/>
    <w:rsid w:val="002D7F03"/>
    <w:rsid w:val="002D7FF7"/>
    <w:rsid w:val="002E6676"/>
    <w:rsid w:val="002F2629"/>
    <w:rsid w:val="002F75FB"/>
    <w:rsid w:val="00302618"/>
    <w:rsid w:val="00307823"/>
    <w:rsid w:val="00310F69"/>
    <w:rsid w:val="00315E92"/>
    <w:rsid w:val="0031699D"/>
    <w:rsid w:val="00324454"/>
    <w:rsid w:val="00325286"/>
    <w:rsid w:val="00337EC4"/>
    <w:rsid w:val="00340236"/>
    <w:rsid w:val="00343E6B"/>
    <w:rsid w:val="00351CBE"/>
    <w:rsid w:val="00351CCB"/>
    <w:rsid w:val="00362468"/>
    <w:rsid w:val="00362969"/>
    <w:rsid w:val="00365384"/>
    <w:rsid w:val="0036680B"/>
    <w:rsid w:val="003711F3"/>
    <w:rsid w:val="0037275B"/>
    <w:rsid w:val="0037681A"/>
    <w:rsid w:val="00380156"/>
    <w:rsid w:val="00380FEC"/>
    <w:rsid w:val="0038428B"/>
    <w:rsid w:val="003848C1"/>
    <w:rsid w:val="003849B0"/>
    <w:rsid w:val="00394AF4"/>
    <w:rsid w:val="00395172"/>
    <w:rsid w:val="0039799B"/>
    <w:rsid w:val="003A0B28"/>
    <w:rsid w:val="003A0EED"/>
    <w:rsid w:val="003A5569"/>
    <w:rsid w:val="003A62C1"/>
    <w:rsid w:val="003A65B6"/>
    <w:rsid w:val="003A6A82"/>
    <w:rsid w:val="003B70AE"/>
    <w:rsid w:val="003C5A15"/>
    <w:rsid w:val="003D112A"/>
    <w:rsid w:val="003D11C2"/>
    <w:rsid w:val="003E4219"/>
    <w:rsid w:val="003E42B4"/>
    <w:rsid w:val="003E5D42"/>
    <w:rsid w:val="003E7340"/>
    <w:rsid w:val="003F1772"/>
    <w:rsid w:val="00402C0D"/>
    <w:rsid w:val="00403C23"/>
    <w:rsid w:val="00405F7B"/>
    <w:rsid w:val="00406EF9"/>
    <w:rsid w:val="004142A3"/>
    <w:rsid w:val="0041577F"/>
    <w:rsid w:val="00420085"/>
    <w:rsid w:val="00420338"/>
    <w:rsid w:val="004241E6"/>
    <w:rsid w:val="00425B5C"/>
    <w:rsid w:val="00425E2A"/>
    <w:rsid w:val="004307D5"/>
    <w:rsid w:val="0043112A"/>
    <w:rsid w:val="00442AF8"/>
    <w:rsid w:val="0044362B"/>
    <w:rsid w:val="00444E25"/>
    <w:rsid w:val="00445103"/>
    <w:rsid w:val="004471FF"/>
    <w:rsid w:val="00452377"/>
    <w:rsid w:val="00453410"/>
    <w:rsid w:val="00454184"/>
    <w:rsid w:val="00465192"/>
    <w:rsid w:val="0046567B"/>
    <w:rsid w:val="00470B38"/>
    <w:rsid w:val="004723EA"/>
    <w:rsid w:val="00474959"/>
    <w:rsid w:val="00484646"/>
    <w:rsid w:val="00486448"/>
    <w:rsid w:val="004868C8"/>
    <w:rsid w:val="00487552"/>
    <w:rsid w:val="00490CDD"/>
    <w:rsid w:val="00491FDF"/>
    <w:rsid w:val="0049570F"/>
    <w:rsid w:val="004969C5"/>
    <w:rsid w:val="00496B0F"/>
    <w:rsid w:val="004A27F4"/>
    <w:rsid w:val="004A6CB6"/>
    <w:rsid w:val="004B3257"/>
    <w:rsid w:val="004B6AF5"/>
    <w:rsid w:val="004B7257"/>
    <w:rsid w:val="004C0728"/>
    <w:rsid w:val="004D2C95"/>
    <w:rsid w:val="004D305D"/>
    <w:rsid w:val="004D49B1"/>
    <w:rsid w:val="004D5F51"/>
    <w:rsid w:val="004E0267"/>
    <w:rsid w:val="004E047A"/>
    <w:rsid w:val="004E1903"/>
    <w:rsid w:val="004E61C9"/>
    <w:rsid w:val="004E6913"/>
    <w:rsid w:val="004E7A66"/>
    <w:rsid w:val="004F1273"/>
    <w:rsid w:val="004F1F51"/>
    <w:rsid w:val="004F2F98"/>
    <w:rsid w:val="004F338F"/>
    <w:rsid w:val="004F6CB3"/>
    <w:rsid w:val="00500DE9"/>
    <w:rsid w:val="00506BED"/>
    <w:rsid w:val="005119DF"/>
    <w:rsid w:val="00515929"/>
    <w:rsid w:val="00522BC6"/>
    <w:rsid w:val="00523B5D"/>
    <w:rsid w:val="00527275"/>
    <w:rsid w:val="00530640"/>
    <w:rsid w:val="00530ADD"/>
    <w:rsid w:val="00530F81"/>
    <w:rsid w:val="00531A8D"/>
    <w:rsid w:val="00536212"/>
    <w:rsid w:val="00537466"/>
    <w:rsid w:val="00537AF9"/>
    <w:rsid w:val="00540AE1"/>
    <w:rsid w:val="00545F6A"/>
    <w:rsid w:val="005476A6"/>
    <w:rsid w:val="005517AE"/>
    <w:rsid w:val="0055231A"/>
    <w:rsid w:val="00556CCE"/>
    <w:rsid w:val="0055729D"/>
    <w:rsid w:val="0055744D"/>
    <w:rsid w:val="00561DF8"/>
    <w:rsid w:val="00562506"/>
    <w:rsid w:val="00577E46"/>
    <w:rsid w:val="005858BD"/>
    <w:rsid w:val="00592F6D"/>
    <w:rsid w:val="00594135"/>
    <w:rsid w:val="00594DBD"/>
    <w:rsid w:val="0059560F"/>
    <w:rsid w:val="005A1C34"/>
    <w:rsid w:val="005A44EE"/>
    <w:rsid w:val="005A4EF8"/>
    <w:rsid w:val="005A7C75"/>
    <w:rsid w:val="005A7E24"/>
    <w:rsid w:val="005B09A2"/>
    <w:rsid w:val="005C4E4A"/>
    <w:rsid w:val="005D2077"/>
    <w:rsid w:val="005D3CE9"/>
    <w:rsid w:val="005D3D4C"/>
    <w:rsid w:val="005D44BB"/>
    <w:rsid w:val="005E2011"/>
    <w:rsid w:val="005E476D"/>
    <w:rsid w:val="005E47C3"/>
    <w:rsid w:val="005E5DFA"/>
    <w:rsid w:val="005E6600"/>
    <w:rsid w:val="005E734E"/>
    <w:rsid w:val="005F2259"/>
    <w:rsid w:val="005F2D15"/>
    <w:rsid w:val="005F4EE6"/>
    <w:rsid w:val="005F5656"/>
    <w:rsid w:val="00600984"/>
    <w:rsid w:val="00600EDE"/>
    <w:rsid w:val="00602C53"/>
    <w:rsid w:val="006070DF"/>
    <w:rsid w:val="00622D3B"/>
    <w:rsid w:val="0062430A"/>
    <w:rsid w:val="00624694"/>
    <w:rsid w:val="00636D2B"/>
    <w:rsid w:val="00640081"/>
    <w:rsid w:val="00641289"/>
    <w:rsid w:val="00643474"/>
    <w:rsid w:val="00644E3B"/>
    <w:rsid w:val="006502BB"/>
    <w:rsid w:val="00663EB5"/>
    <w:rsid w:val="00676F1E"/>
    <w:rsid w:val="0068090B"/>
    <w:rsid w:val="006833D8"/>
    <w:rsid w:val="006841CB"/>
    <w:rsid w:val="00685A7F"/>
    <w:rsid w:val="00687D59"/>
    <w:rsid w:val="00691EDB"/>
    <w:rsid w:val="006A32C9"/>
    <w:rsid w:val="006A4513"/>
    <w:rsid w:val="006A7DFE"/>
    <w:rsid w:val="006B425B"/>
    <w:rsid w:val="006C6282"/>
    <w:rsid w:val="006D1DAF"/>
    <w:rsid w:val="006D36CD"/>
    <w:rsid w:val="006D3912"/>
    <w:rsid w:val="006D4638"/>
    <w:rsid w:val="006D5767"/>
    <w:rsid w:val="006D755B"/>
    <w:rsid w:val="006D7957"/>
    <w:rsid w:val="006E0909"/>
    <w:rsid w:val="006E5AE2"/>
    <w:rsid w:val="006E5F42"/>
    <w:rsid w:val="006F30DF"/>
    <w:rsid w:val="006F31D0"/>
    <w:rsid w:val="006F366E"/>
    <w:rsid w:val="00702098"/>
    <w:rsid w:val="00704CB3"/>
    <w:rsid w:val="00706C8F"/>
    <w:rsid w:val="007079EA"/>
    <w:rsid w:val="00715CAB"/>
    <w:rsid w:val="00720413"/>
    <w:rsid w:val="00721170"/>
    <w:rsid w:val="00721770"/>
    <w:rsid w:val="007220A0"/>
    <w:rsid w:val="00723C2D"/>
    <w:rsid w:val="0072480B"/>
    <w:rsid w:val="007248D6"/>
    <w:rsid w:val="00726157"/>
    <w:rsid w:val="00732A0D"/>
    <w:rsid w:val="007331D2"/>
    <w:rsid w:val="00740161"/>
    <w:rsid w:val="00741FC4"/>
    <w:rsid w:val="00750671"/>
    <w:rsid w:val="0076153E"/>
    <w:rsid w:val="007707EB"/>
    <w:rsid w:val="007778F1"/>
    <w:rsid w:val="007817AA"/>
    <w:rsid w:val="007A0E66"/>
    <w:rsid w:val="007A79BE"/>
    <w:rsid w:val="007B3F38"/>
    <w:rsid w:val="007C1891"/>
    <w:rsid w:val="007C22F5"/>
    <w:rsid w:val="007D13AB"/>
    <w:rsid w:val="007D1874"/>
    <w:rsid w:val="007D59C4"/>
    <w:rsid w:val="007E0B7D"/>
    <w:rsid w:val="007F0252"/>
    <w:rsid w:val="007F128C"/>
    <w:rsid w:val="007F248D"/>
    <w:rsid w:val="007F479B"/>
    <w:rsid w:val="007F568C"/>
    <w:rsid w:val="007F62FC"/>
    <w:rsid w:val="007F6453"/>
    <w:rsid w:val="007F6C55"/>
    <w:rsid w:val="0080065C"/>
    <w:rsid w:val="008015A6"/>
    <w:rsid w:val="00801F8D"/>
    <w:rsid w:val="008049ED"/>
    <w:rsid w:val="008072AB"/>
    <w:rsid w:val="00811F54"/>
    <w:rsid w:val="00813930"/>
    <w:rsid w:val="00816630"/>
    <w:rsid w:val="00816D54"/>
    <w:rsid w:val="00830D1B"/>
    <w:rsid w:val="008440B8"/>
    <w:rsid w:val="00854465"/>
    <w:rsid w:val="008604D6"/>
    <w:rsid w:val="00861EB7"/>
    <w:rsid w:val="00863301"/>
    <w:rsid w:val="0086560F"/>
    <w:rsid w:val="00865B7B"/>
    <w:rsid w:val="00867FD2"/>
    <w:rsid w:val="008744A8"/>
    <w:rsid w:val="008752C6"/>
    <w:rsid w:val="00877FEA"/>
    <w:rsid w:val="008823B4"/>
    <w:rsid w:val="0088321E"/>
    <w:rsid w:val="00884C64"/>
    <w:rsid w:val="00895F4C"/>
    <w:rsid w:val="008A2994"/>
    <w:rsid w:val="008A5E2B"/>
    <w:rsid w:val="008B5D1E"/>
    <w:rsid w:val="008C7414"/>
    <w:rsid w:val="008C7E0C"/>
    <w:rsid w:val="008D09CD"/>
    <w:rsid w:val="008E5905"/>
    <w:rsid w:val="008E698E"/>
    <w:rsid w:val="008F06D0"/>
    <w:rsid w:val="008F3354"/>
    <w:rsid w:val="008F4B9F"/>
    <w:rsid w:val="008F60EE"/>
    <w:rsid w:val="008F7988"/>
    <w:rsid w:val="00901553"/>
    <w:rsid w:val="00903B6C"/>
    <w:rsid w:val="00903ED7"/>
    <w:rsid w:val="00904EDB"/>
    <w:rsid w:val="009072AF"/>
    <w:rsid w:val="00914E47"/>
    <w:rsid w:val="00915AFA"/>
    <w:rsid w:val="00920A06"/>
    <w:rsid w:val="00922296"/>
    <w:rsid w:val="009267F9"/>
    <w:rsid w:val="00926A50"/>
    <w:rsid w:val="00932782"/>
    <w:rsid w:val="0093311E"/>
    <w:rsid w:val="009442A7"/>
    <w:rsid w:val="00945127"/>
    <w:rsid w:val="009471AB"/>
    <w:rsid w:val="00954744"/>
    <w:rsid w:val="00957646"/>
    <w:rsid w:val="00957D14"/>
    <w:rsid w:val="00961037"/>
    <w:rsid w:val="00971E23"/>
    <w:rsid w:val="00971EDD"/>
    <w:rsid w:val="00973F3C"/>
    <w:rsid w:val="00975876"/>
    <w:rsid w:val="00976B9C"/>
    <w:rsid w:val="00976E86"/>
    <w:rsid w:val="009817DB"/>
    <w:rsid w:val="00986725"/>
    <w:rsid w:val="009874A7"/>
    <w:rsid w:val="009874D6"/>
    <w:rsid w:val="0099145D"/>
    <w:rsid w:val="00991D40"/>
    <w:rsid w:val="009A0587"/>
    <w:rsid w:val="009A453C"/>
    <w:rsid w:val="009B7F95"/>
    <w:rsid w:val="009C5D60"/>
    <w:rsid w:val="009C6FB8"/>
    <w:rsid w:val="009D034B"/>
    <w:rsid w:val="009D2CAA"/>
    <w:rsid w:val="009D58CB"/>
    <w:rsid w:val="009E1306"/>
    <w:rsid w:val="009E1B34"/>
    <w:rsid w:val="009E50DE"/>
    <w:rsid w:val="009E6D50"/>
    <w:rsid w:val="009F0AFD"/>
    <w:rsid w:val="009F0DE7"/>
    <w:rsid w:val="009F1BC3"/>
    <w:rsid w:val="009F5F3C"/>
    <w:rsid w:val="009F6DA3"/>
    <w:rsid w:val="00A0238D"/>
    <w:rsid w:val="00A035F5"/>
    <w:rsid w:val="00A04D50"/>
    <w:rsid w:val="00A06731"/>
    <w:rsid w:val="00A07415"/>
    <w:rsid w:val="00A13CC5"/>
    <w:rsid w:val="00A15829"/>
    <w:rsid w:val="00A16A5B"/>
    <w:rsid w:val="00A17960"/>
    <w:rsid w:val="00A208FD"/>
    <w:rsid w:val="00A27E5A"/>
    <w:rsid w:val="00A30919"/>
    <w:rsid w:val="00A44F67"/>
    <w:rsid w:val="00A47238"/>
    <w:rsid w:val="00A502CE"/>
    <w:rsid w:val="00A53282"/>
    <w:rsid w:val="00A5391A"/>
    <w:rsid w:val="00A549AD"/>
    <w:rsid w:val="00A56399"/>
    <w:rsid w:val="00A565D6"/>
    <w:rsid w:val="00A61E58"/>
    <w:rsid w:val="00A65320"/>
    <w:rsid w:val="00A80D87"/>
    <w:rsid w:val="00A8244B"/>
    <w:rsid w:val="00A82BF6"/>
    <w:rsid w:val="00A8385B"/>
    <w:rsid w:val="00A904DB"/>
    <w:rsid w:val="00A90B65"/>
    <w:rsid w:val="00A92AD1"/>
    <w:rsid w:val="00A94FD3"/>
    <w:rsid w:val="00AA53E1"/>
    <w:rsid w:val="00AA70F3"/>
    <w:rsid w:val="00AA7C61"/>
    <w:rsid w:val="00AB059B"/>
    <w:rsid w:val="00AB2A24"/>
    <w:rsid w:val="00AB3651"/>
    <w:rsid w:val="00AB712F"/>
    <w:rsid w:val="00AB7968"/>
    <w:rsid w:val="00AC5225"/>
    <w:rsid w:val="00AC5932"/>
    <w:rsid w:val="00AC6C7C"/>
    <w:rsid w:val="00AD019C"/>
    <w:rsid w:val="00AD07A1"/>
    <w:rsid w:val="00AD0E0E"/>
    <w:rsid w:val="00AD1777"/>
    <w:rsid w:val="00AD4CF8"/>
    <w:rsid w:val="00AD5551"/>
    <w:rsid w:val="00AD745A"/>
    <w:rsid w:val="00AE5078"/>
    <w:rsid w:val="00AE7D98"/>
    <w:rsid w:val="00AF2C1B"/>
    <w:rsid w:val="00AF3AD6"/>
    <w:rsid w:val="00AF45E6"/>
    <w:rsid w:val="00AF62AF"/>
    <w:rsid w:val="00AF67AC"/>
    <w:rsid w:val="00B03878"/>
    <w:rsid w:val="00B07AF9"/>
    <w:rsid w:val="00B10360"/>
    <w:rsid w:val="00B14015"/>
    <w:rsid w:val="00B156DC"/>
    <w:rsid w:val="00B16AC2"/>
    <w:rsid w:val="00B17737"/>
    <w:rsid w:val="00B22980"/>
    <w:rsid w:val="00B235FE"/>
    <w:rsid w:val="00B33ECB"/>
    <w:rsid w:val="00B44811"/>
    <w:rsid w:val="00B45FCA"/>
    <w:rsid w:val="00B54678"/>
    <w:rsid w:val="00B5732B"/>
    <w:rsid w:val="00B6437A"/>
    <w:rsid w:val="00B646D3"/>
    <w:rsid w:val="00B67456"/>
    <w:rsid w:val="00B7138D"/>
    <w:rsid w:val="00B73F9D"/>
    <w:rsid w:val="00B751D9"/>
    <w:rsid w:val="00B76299"/>
    <w:rsid w:val="00B767AA"/>
    <w:rsid w:val="00B81A04"/>
    <w:rsid w:val="00B832E9"/>
    <w:rsid w:val="00B84D0C"/>
    <w:rsid w:val="00B86329"/>
    <w:rsid w:val="00B871DC"/>
    <w:rsid w:val="00B90207"/>
    <w:rsid w:val="00B90E1E"/>
    <w:rsid w:val="00B92B1C"/>
    <w:rsid w:val="00B95F00"/>
    <w:rsid w:val="00BA5606"/>
    <w:rsid w:val="00BA5A80"/>
    <w:rsid w:val="00BB5B88"/>
    <w:rsid w:val="00BB72FF"/>
    <w:rsid w:val="00BC52BB"/>
    <w:rsid w:val="00BC543E"/>
    <w:rsid w:val="00BC5961"/>
    <w:rsid w:val="00BC6C4D"/>
    <w:rsid w:val="00BC7086"/>
    <w:rsid w:val="00BD2D29"/>
    <w:rsid w:val="00BD5024"/>
    <w:rsid w:val="00BD5403"/>
    <w:rsid w:val="00BD5B5C"/>
    <w:rsid w:val="00BE7632"/>
    <w:rsid w:val="00BF10D6"/>
    <w:rsid w:val="00BF2904"/>
    <w:rsid w:val="00BF3384"/>
    <w:rsid w:val="00C0777A"/>
    <w:rsid w:val="00C11AA1"/>
    <w:rsid w:val="00C1245E"/>
    <w:rsid w:val="00C15F33"/>
    <w:rsid w:val="00C2604F"/>
    <w:rsid w:val="00C30BD5"/>
    <w:rsid w:val="00C343D2"/>
    <w:rsid w:val="00C358AB"/>
    <w:rsid w:val="00C35F33"/>
    <w:rsid w:val="00C42D4C"/>
    <w:rsid w:val="00C53EDB"/>
    <w:rsid w:val="00C54DF4"/>
    <w:rsid w:val="00C54FEF"/>
    <w:rsid w:val="00C57E36"/>
    <w:rsid w:val="00C6042A"/>
    <w:rsid w:val="00C61364"/>
    <w:rsid w:val="00C61D98"/>
    <w:rsid w:val="00C63A6B"/>
    <w:rsid w:val="00C66F99"/>
    <w:rsid w:val="00C771F7"/>
    <w:rsid w:val="00C80179"/>
    <w:rsid w:val="00C81C10"/>
    <w:rsid w:val="00C827F9"/>
    <w:rsid w:val="00C82977"/>
    <w:rsid w:val="00C83E33"/>
    <w:rsid w:val="00C86024"/>
    <w:rsid w:val="00C86556"/>
    <w:rsid w:val="00C87D1C"/>
    <w:rsid w:val="00C91293"/>
    <w:rsid w:val="00C9230E"/>
    <w:rsid w:val="00C96268"/>
    <w:rsid w:val="00CA02DD"/>
    <w:rsid w:val="00CA17D9"/>
    <w:rsid w:val="00CA3299"/>
    <w:rsid w:val="00CA69A0"/>
    <w:rsid w:val="00CA7AC3"/>
    <w:rsid w:val="00CB700D"/>
    <w:rsid w:val="00CC376C"/>
    <w:rsid w:val="00CC7478"/>
    <w:rsid w:val="00CD575F"/>
    <w:rsid w:val="00CD675A"/>
    <w:rsid w:val="00CE0241"/>
    <w:rsid w:val="00CE4F67"/>
    <w:rsid w:val="00CE52E2"/>
    <w:rsid w:val="00CE5310"/>
    <w:rsid w:val="00CE6715"/>
    <w:rsid w:val="00CE75DA"/>
    <w:rsid w:val="00CF0B8A"/>
    <w:rsid w:val="00CF39F5"/>
    <w:rsid w:val="00CF6448"/>
    <w:rsid w:val="00CF73DF"/>
    <w:rsid w:val="00D016A4"/>
    <w:rsid w:val="00D01ECE"/>
    <w:rsid w:val="00D02517"/>
    <w:rsid w:val="00D02F16"/>
    <w:rsid w:val="00D04AE8"/>
    <w:rsid w:val="00D068DA"/>
    <w:rsid w:val="00D10CF3"/>
    <w:rsid w:val="00D1125A"/>
    <w:rsid w:val="00D123EF"/>
    <w:rsid w:val="00D15FF6"/>
    <w:rsid w:val="00D22BA6"/>
    <w:rsid w:val="00D32AE9"/>
    <w:rsid w:val="00D34CF3"/>
    <w:rsid w:val="00D36978"/>
    <w:rsid w:val="00D52E04"/>
    <w:rsid w:val="00D7144E"/>
    <w:rsid w:val="00D7221A"/>
    <w:rsid w:val="00D73A91"/>
    <w:rsid w:val="00D74EB9"/>
    <w:rsid w:val="00D75CBD"/>
    <w:rsid w:val="00D75DD4"/>
    <w:rsid w:val="00D75E75"/>
    <w:rsid w:val="00D77104"/>
    <w:rsid w:val="00D80571"/>
    <w:rsid w:val="00D837A4"/>
    <w:rsid w:val="00D90B67"/>
    <w:rsid w:val="00D9208B"/>
    <w:rsid w:val="00D94DAB"/>
    <w:rsid w:val="00D95C0A"/>
    <w:rsid w:val="00D95F20"/>
    <w:rsid w:val="00DA19B2"/>
    <w:rsid w:val="00DA1A95"/>
    <w:rsid w:val="00DA3444"/>
    <w:rsid w:val="00DA4340"/>
    <w:rsid w:val="00DA4F3E"/>
    <w:rsid w:val="00DB78F7"/>
    <w:rsid w:val="00DC5AEC"/>
    <w:rsid w:val="00DC60FD"/>
    <w:rsid w:val="00DD03B7"/>
    <w:rsid w:val="00DD0CBB"/>
    <w:rsid w:val="00DD11EA"/>
    <w:rsid w:val="00DD490D"/>
    <w:rsid w:val="00DE0392"/>
    <w:rsid w:val="00DE3EDD"/>
    <w:rsid w:val="00DE4890"/>
    <w:rsid w:val="00DF0024"/>
    <w:rsid w:val="00DF2C32"/>
    <w:rsid w:val="00DF434A"/>
    <w:rsid w:val="00DF5416"/>
    <w:rsid w:val="00DF54D2"/>
    <w:rsid w:val="00DF59B3"/>
    <w:rsid w:val="00E01168"/>
    <w:rsid w:val="00E02FB7"/>
    <w:rsid w:val="00E034CA"/>
    <w:rsid w:val="00E05382"/>
    <w:rsid w:val="00E07FB1"/>
    <w:rsid w:val="00E170B9"/>
    <w:rsid w:val="00E17C86"/>
    <w:rsid w:val="00E2083C"/>
    <w:rsid w:val="00E210E3"/>
    <w:rsid w:val="00E23BF7"/>
    <w:rsid w:val="00E35962"/>
    <w:rsid w:val="00E37756"/>
    <w:rsid w:val="00E37A58"/>
    <w:rsid w:val="00E41120"/>
    <w:rsid w:val="00E4453C"/>
    <w:rsid w:val="00E517CA"/>
    <w:rsid w:val="00E53978"/>
    <w:rsid w:val="00E556E0"/>
    <w:rsid w:val="00E55927"/>
    <w:rsid w:val="00E55C3D"/>
    <w:rsid w:val="00E57C2B"/>
    <w:rsid w:val="00E60E2D"/>
    <w:rsid w:val="00E61DAB"/>
    <w:rsid w:val="00E62E57"/>
    <w:rsid w:val="00E6559C"/>
    <w:rsid w:val="00E7057A"/>
    <w:rsid w:val="00E71EEB"/>
    <w:rsid w:val="00E745AA"/>
    <w:rsid w:val="00E74E03"/>
    <w:rsid w:val="00E7592A"/>
    <w:rsid w:val="00E75EAD"/>
    <w:rsid w:val="00E77937"/>
    <w:rsid w:val="00E77B39"/>
    <w:rsid w:val="00E837EF"/>
    <w:rsid w:val="00E846F8"/>
    <w:rsid w:val="00E87D1E"/>
    <w:rsid w:val="00E90782"/>
    <w:rsid w:val="00E9118A"/>
    <w:rsid w:val="00E9375A"/>
    <w:rsid w:val="00E93A11"/>
    <w:rsid w:val="00E9554F"/>
    <w:rsid w:val="00E96BF2"/>
    <w:rsid w:val="00EA215E"/>
    <w:rsid w:val="00EA3CF5"/>
    <w:rsid w:val="00EA60A8"/>
    <w:rsid w:val="00EA720B"/>
    <w:rsid w:val="00EB19F7"/>
    <w:rsid w:val="00EB1F81"/>
    <w:rsid w:val="00EB4406"/>
    <w:rsid w:val="00EB4D2B"/>
    <w:rsid w:val="00EB5D64"/>
    <w:rsid w:val="00EB5DF5"/>
    <w:rsid w:val="00EC159E"/>
    <w:rsid w:val="00EC63A5"/>
    <w:rsid w:val="00EC7952"/>
    <w:rsid w:val="00ED5753"/>
    <w:rsid w:val="00ED74B0"/>
    <w:rsid w:val="00ED7EA8"/>
    <w:rsid w:val="00EE2D9C"/>
    <w:rsid w:val="00EE4E96"/>
    <w:rsid w:val="00EF153D"/>
    <w:rsid w:val="00EF1BFC"/>
    <w:rsid w:val="00EF319E"/>
    <w:rsid w:val="00EF78ED"/>
    <w:rsid w:val="00F00E18"/>
    <w:rsid w:val="00F01AEB"/>
    <w:rsid w:val="00F036CA"/>
    <w:rsid w:val="00F03B49"/>
    <w:rsid w:val="00F05BB5"/>
    <w:rsid w:val="00F063B7"/>
    <w:rsid w:val="00F13D02"/>
    <w:rsid w:val="00F14BE7"/>
    <w:rsid w:val="00F16A14"/>
    <w:rsid w:val="00F17F6E"/>
    <w:rsid w:val="00F204CA"/>
    <w:rsid w:val="00F23432"/>
    <w:rsid w:val="00F2569D"/>
    <w:rsid w:val="00F27EA4"/>
    <w:rsid w:val="00F32EDF"/>
    <w:rsid w:val="00F3674C"/>
    <w:rsid w:val="00F40692"/>
    <w:rsid w:val="00F414F0"/>
    <w:rsid w:val="00F423AA"/>
    <w:rsid w:val="00F42B2E"/>
    <w:rsid w:val="00F43DC8"/>
    <w:rsid w:val="00F448AC"/>
    <w:rsid w:val="00F55DEB"/>
    <w:rsid w:val="00F57EBA"/>
    <w:rsid w:val="00F61164"/>
    <w:rsid w:val="00F65266"/>
    <w:rsid w:val="00F7373F"/>
    <w:rsid w:val="00F7546A"/>
    <w:rsid w:val="00F758D2"/>
    <w:rsid w:val="00F75E83"/>
    <w:rsid w:val="00F806B2"/>
    <w:rsid w:val="00F81FC8"/>
    <w:rsid w:val="00F874F8"/>
    <w:rsid w:val="00F918E9"/>
    <w:rsid w:val="00F920A2"/>
    <w:rsid w:val="00F92E91"/>
    <w:rsid w:val="00F96D83"/>
    <w:rsid w:val="00F979E9"/>
    <w:rsid w:val="00FA2374"/>
    <w:rsid w:val="00FA3809"/>
    <w:rsid w:val="00FA4D91"/>
    <w:rsid w:val="00FB099B"/>
    <w:rsid w:val="00FB0F2A"/>
    <w:rsid w:val="00FB2A52"/>
    <w:rsid w:val="00FB3EBF"/>
    <w:rsid w:val="00FB449B"/>
    <w:rsid w:val="00FD2F73"/>
    <w:rsid w:val="00FD44B6"/>
    <w:rsid w:val="00FF36EA"/>
    <w:rsid w:val="00FF3C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29058C"/>
  <w15:chartTrackingRefBased/>
  <w15:docId w15:val="{6A7DCB2D-4D8C-4CC3-AFB1-E0625572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212094"/>
    <w:pPr>
      <w:keepNext/>
      <w:keepLines/>
      <w:spacing w:before="480" w:line="276" w:lineRule="auto"/>
      <w:outlineLvl w:val="0"/>
    </w:pPr>
    <w:rPr>
      <w:rFonts w:ascii="Calibri Light" w:hAnsi="Calibri Light"/>
      <w:b/>
      <w:bCs/>
      <w:color w:val="2E74B5"/>
      <w:sz w:val="28"/>
      <w:szCs w:val="28"/>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4E1903"/>
    <w:rPr>
      <w:rFonts w:ascii="Tahoma" w:hAnsi="Tahoma"/>
      <w:sz w:val="16"/>
      <w:szCs w:val="16"/>
      <w:lang w:val="x-none" w:eastAsia="x-none"/>
    </w:rPr>
  </w:style>
  <w:style w:type="character" w:customStyle="1" w:styleId="TextbublinyChar">
    <w:name w:val="Text bubliny Char"/>
    <w:link w:val="Textbubliny"/>
    <w:rsid w:val="004E1903"/>
    <w:rPr>
      <w:rFonts w:ascii="Tahoma" w:hAnsi="Tahoma" w:cs="Tahoma"/>
      <w:sz w:val="16"/>
      <w:szCs w:val="16"/>
    </w:rPr>
  </w:style>
  <w:style w:type="paragraph" w:styleId="Zpat">
    <w:name w:val="footer"/>
    <w:basedOn w:val="Normln"/>
    <w:link w:val="ZpatChar"/>
    <w:uiPriority w:val="99"/>
    <w:unhideWhenUsed/>
    <w:rsid w:val="00EC7952"/>
    <w:pPr>
      <w:tabs>
        <w:tab w:val="center" w:pos="4536"/>
        <w:tab w:val="right" w:pos="9072"/>
      </w:tabs>
      <w:spacing w:after="200" w:line="276" w:lineRule="auto"/>
    </w:pPr>
    <w:rPr>
      <w:rFonts w:ascii="Calibri" w:eastAsia="Calibri" w:hAnsi="Calibri"/>
      <w:sz w:val="22"/>
      <w:szCs w:val="22"/>
      <w:lang w:val="x-none" w:eastAsia="en-US"/>
    </w:rPr>
  </w:style>
  <w:style w:type="character" w:customStyle="1" w:styleId="ZpatChar">
    <w:name w:val="Zápatí Char"/>
    <w:link w:val="Zpat"/>
    <w:uiPriority w:val="99"/>
    <w:rsid w:val="00EC7952"/>
    <w:rPr>
      <w:rFonts w:ascii="Calibri" w:eastAsia="Calibri" w:hAnsi="Calibri"/>
      <w:sz w:val="22"/>
      <w:szCs w:val="22"/>
      <w:lang w:eastAsia="en-US"/>
    </w:rPr>
  </w:style>
  <w:style w:type="paragraph" w:styleId="Odstavecseseznamem">
    <w:name w:val="List Paragraph"/>
    <w:basedOn w:val="Normln"/>
    <w:uiPriority w:val="34"/>
    <w:qFormat/>
    <w:rsid w:val="00185D99"/>
    <w:pPr>
      <w:spacing w:after="200" w:line="276" w:lineRule="auto"/>
      <w:ind w:left="720"/>
      <w:contextualSpacing/>
    </w:pPr>
    <w:rPr>
      <w:rFonts w:ascii="Calibri" w:eastAsia="Calibri" w:hAnsi="Calibri"/>
      <w:sz w:val="22"/>
      <w:szCs w:val="22"/>
      <w:lang w:eastAsia="en-US"/>
    </w:rPr>
  </w:style>
  <w:style w:type="paragraph" w:styleId="Zhlav">
    <w:name w:val="header"/>
    <w:basedOn w:val="Normln"/>
    <w:link w:val="ZhlavChar"/>
    <w:rsid w:val="00185D99"/>
    <w:pPr>
      <w:tabs>
        <w:tab w:val="center" w:pos="4536"/>
        <w:tab w:val="right" w:pos="9072"/>
      </w:tabs>
    </w:pPr>
    <w:rPr>
      <w:lang w:val="x-none" w:eastAsia="x-none"/>
    </w:rPr>
  </w:style>
  <w:style w:type="character" w:customStyle="1" w:styleId="ZhlavChar">
    <w:name w:val="Záhlaví Char"/>
    <w:link w:val="Zhlav"/>
    <w:rsid w:val="00185D99"/>
    <w:rPr>
      <w:sz w:val="24"/>
      <w:szCs w:val="24"/>
    </w:rPr>
  </w:style>
  <w:style w:type="table" w:styleId="Mkatabulky">
    <w:name w:val="Table Grid"/>
    <w:basedOn w:val="Normlntabulka"/>
    <w:uiPriority w:val="39"/>
    <w:rsid w:val="0072177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A06731"/>
    <w:rPr>
      <w:color w:val="0000FF"/>
      <w:u w:val="single"/>
    </w:rPr>
  </w:style>
  <w:style w:type="paragraph" w:customStyle="1" w:styleId="Textbody">
    <w:name w:val="Text body"/>
    <w:basedOn w:val="Normln"/>
    <w:rsid w:val="007D59C4"/>
    <w:pPr>
      <w:tabs>
        <w:tab w:val="left" w:pos="709"/>
      </w:tabs>
      <w:suppressAutoHyphens/>
      <w:autoSpaceDN w:val="0"/>
      <w:spacing w:line="100" w:lineRule="atLeast"/>
    </w:pPr>
    <w:rPr>
      <w:b/>
      <w:color w:val="00000A"/>
      <w:kern w:val="3"/>
      <w:szCs w:val="20"/>
    </w:rPr>
  </w:style>
  <w:style w:type="character" w:styleId="Odkaznakoment">
    <w:name w:val="annotation reference"/>
    <w:uiPriority w:val="99"/>
    <w:rsid w:val="00E37756"/>
    <w:rPr>
      <w:sz w:val="16"/>
      <w:szCs w:val="16"/>
    </w:rPr>
  </w:style>
  <w:style w:type="paragraph" w:styleId="Textkomente">
    <w:name w:val="annotation text"/>
    <w:basedOn w:val="Normln"/>
    <w:link w:val="TextkomenteChar"/>
    <w:uiPriority w:val="99"/>
    <w:rsid w:val="00E37756"/>
    <w:rPr>
      <w:sz w:val="20"/>
      <w:szCs w:val="20"/>
    </w:rPr>
  </w:style>
  <w:style w:type="character" w:customStyle="1" w:styleId="TextkomenteChar">
    <w:name w:val="Text komentáře Char"/>
    <w:basedOn w:val="Standardnpsmoodstavce"/>
    <w:link w:val="Textkomente"/>
    <w:uiPriority w:val="99"/>
    <w:rsid w:val="00E37756"/>
  </w:style>
  <w:style w:type="paragraph" w:styleId="Pedmtkomente">
    <w:name w:val="annotation subject"/>
    <w:basedOn w:val="Textkomente"/>
    <w:next w:val="Textkomente"/>
    <w:link w:val="PedmtkomenteChar"/>
    <w:rsid w:val="00E37756"/>
    <w:rPr>
      <w:b/>
      <w:bCs/>
      <w:lang w:val="x-none" w:eastAsia="x-none"/>
    </w:rPr>
  </w:style>
  <w:style w:type="character" w:customStyle="1" w:styleId="PedmtkomenteChar">
    <w:name w:val="Předmět komentáře Char"/>
    <w:link w:val="Pedmtkomente"/>
    <w:rsid w:val="00E37756"/>
    <w:rPr>
      <w:b/>
      <w:bCs/>
    </w:rPr>
  </w:style>
  <w:style w:type="character" w:customStyle="1" w:styleId="Nadpis1Char">
    <w:name w:val="Nadpis 1 Char"/>
    <w:link w:val="Nadpis1"/>
    <w:uiPriority w:val="9"/>
    <w:rsid w:val="00212094"/>
    <w:rPr>
      <w:rFonts w:ascii="Calibri Light" w:hAnsi="Calibri Light"/>
      <w:b/>
      <w:bCs/>
      <w:color w:val="2E74B5"/>
      <w:sz w:val="28"/>
      <w:szCs w:val="28"/>
      <w:lang w:eastAsia="en-US"/>
    </w:rPr>
  </w:style>
  <w:style w:type="character" w:customStyle="1" w:styleId="h1a5">
    <w:name w:val="h1a5"/>
    <w:rsid w:val="00004B17"/>
    <w:rPr>
      <w:rFonts w:ascii="Arial" w:hAnsi="Arial" w:cs="Arial" w:hint="default"/>
      <w:i/>
      <w:iCs/>
      <w:vanish w:val="0"/>
      <w:webHidden w:val="0"/>
      <w:sz w:val="26"/>
      <w:szCs w:val="26"/>
      <w:specVanish w:val="0"/>
    </w:rPr>
  </w:style>
  <w:style w:type="paragraph" w:styleId="Bezmezer">
    <w:name w:val="No Spacing"/>
    <w:link w:val="BezmezerChar"/>
    <w:uiPriority w:val="1"/>
    <w:qFormat/>
    <w:rsid w:val="004F338F"/>
    <w:rPr>
      <w:sz w:val="24"/>
      <w:szCs w:val="24"/>
    </w:rPr>
  </w:style>
  <w:style w:type="character" w:customStyle="1" w:styleId="BezmezerChar">
    <w:name w:val="Bez mezer Char"/>
    <w:link w:val="Bezmezer"/>
    <w:uiPriority w:val="1"/>
    <w:locked/>
    <w:rsid w:val="004F338F"/>
    <w:rPr>
      <w:sz w:val="24"/>
      <w:szCs w:val="24"/>
      <w:lang w:bidi="ar-SA"/>
    </w:rPr>
  </w:style>
  <w:style w:type="paragraph" w:styleId="Normlnweb">
    <w:name w:val="Normal (Web)"/>
    <w:basedOn w:val="Normln"/>
    <w:uiPriority w:val="99"/>
    <w:unhideWhenUsed/>
    <w:rsid w:val="00BD5B5C"/>
    <w:pPr>
      <w:spacing w:before="192" w:after="192" w:line="360" w:lineRule="atLeast"/>
    </w:pPr>
  </w:style>
  <w:style w:type="character" w:styleId="Sledovanodkaz">
    <w:name w:val="FollowedHyperlink"/>
    <w:rsid w:val="00AA53E1"/>
    <w:rPr>
      <w:color w:val="954F72"/>
      <w:u w:val="single"/>
    </w:rPr>
  </w:style>
  <w:style w:type="character" w:styleId="Zdraznn">
    <w:name w:val="Emphasis"/>
    <w:uiPriority w:val="20"/>
    <w:qFormat/>
    <w:rsid w:val="00B16AC2"/>
    <w:rPr>
      <w:i/>
      <w:iCs/>
    </w:rPr>
  </w:style>
  <w:style w:type="paragraph" w:styleId="Nzev">
    <w:name w:val="Title"/>
    <w:basedOn w:val="Normln"/>
    <w:link w:val="NzevChar"/>
    <w:qFormat/>
    <w:rsid w:val="0093311E"/>
    <w:pPr>
      <w:jc w:val="center"/>
    </w:pPr>
    <w:rPr>
      <w:sz w:val="28"/>
      <w:szCs w:val="20"/>
      <w:lang w:val="x-none" w:eastAsia="x-none"/>
    </w:rPr>
  </w:style>
  <w:style w:type="character" w:customStyle="1" w:styleId="NzevChar">
    <w:name w:val="Název Char"/>
    <w:link w:val="Nzev"/>
    <w:rsid w:val="0093311E"/>
    <w:rPr>
      <w:sz w:val="28"/>
    </w:rPr>
  </w:style>
  <w:style w:type="character" w:styleId="Siln">
    <w:name w:val="Strong"/>
    <w:qFormat/>
    <w:rsid w:val="00E90782"/>
    <w:rPr>
      <w:b/>
      <w:bCs/>
    </w:rPr>
  </w:style>
  <w:style w:type="paragraph" w:customStyle="1" w:styleId="Default">
    <w:name w:val="Default"/>
    <w:rsid w:val="002C35E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5624">
      <w:bodyDiv w:val="1"/>
      <w:marLeft w:val="0"/>
      <w:marRight w:val="0"/>
      <w:marTop w:val="0"/>
      <w:marBottom w:val="0"/>
      <w:divBdr>
        <w:top w:val="none" w:sz="0" w:space="0" w:color="auto"/>
        <w:left w:val="none" w:sz="0" w:space="0" w:color="auto"/>
        <w:bottom w:val="none" w:sz="0" w:space="0" w:color="auto"/>
        <w:right w:val="none" w:sz="0" w:space="0" w:color="auto"/>
      </w:divBdr>
    </w:div>
    <w:div w:id="272901007">
      <w:bodyDiv w:val="1"/>
      <w:marLeft w:val="0"/>
      <w:marRight w:val="0"/>
      <w:marTop w:val="0"/>
      <w:marBottom w:val="0"/>
      <w:divBdr>
        <w:top w:val="none" w:sz="0" w:space="0" w:color="auto"/>
        <w:left w:val="none" w:sz="0" w:space="0" w:color="auto"/>
        <w:bottom w:val="none" w:sz="0" w:space="0" w:color="auto"/>
        <w:right w:val="none" w:sz="0" w:space="0" w:color="auto"/>
      </w:divBdr>
    </w:div>
    <w:div w:id="297536706">
      <w:bodyDiv w:val="1"/>
      <w:marLeft w:val="0"/>
      <w:marRight w:val="0"/>
      <w:marTop w:val="0"/>
      <w:marBottom w:val="0"/>
      <w:divBdr>
        <w:top w:val="none" w:sz="0" w:space="0" w:color="auto"/>
        <w:left w:val="none" w:sz="0" w:space="0" w:color="auto"/>
        <w:bottom w:val="none" w:sz="0" w:space="0" w:color="auto"/>
        <w:right w:val="none" w:sz="0" w:space="0" w:color="auto"/>
      </w:divBdr>
    </w:div>
    <w:div w:id="381170589">
      <w:bodyDiv w:val="1"/>
      <w:marLeft w:val="0"/>
      <w:marRight w:val="0"/>
      <w:marTop w:val="0"/>
      <w:marBottom w:val="0"/>
      <w:divBdr>
        <w:top w:val="none" w:sz="0" w:space="0" w:color="auto"/>
        <w:left w:val="none" w:sz="0" w:space="0" w:color="auto"/>
        <w:bottom w:val="none" w:sz="0" w:space="0" w:color="auto"/>
        <w:right w:val="none" w:sz="0" w:space="0" w:color="auto"/>
      </w:divBdr>
    </w:div>
    <w:div w:id="655231813">
      <w:bodyDiv w:val="1"/>
      <w:marLeft w:val="0"/>
      <w:marRight w:val="0"/>
      <w:marTop w:val="0"/>
      <w:marBottom w:val="0"/>
      <w:divBdr>
        <w:top w:val="none" w:sz="0" w:space="0" w:color="auto"/>
        <w:left w:val="none" w:sz="0" w:space="0" w:color="auto"/>
        <w:bottom w:val="none" w:sz="0" w:space="0" w:color="auto"/>
        <w:right w:val="none" w:sz="0" w:space="0" w:color="auto"/>
      </w:divBdr>
    </w:div>
    <w:div w:id="666253117">
      <w:bodyDiv w:val="1"/>
      <w:marLeft w:val="0"/>
      <w:marRight w:val="0"/>
      <w:marTop w:val="0"/>
      <w:marBottom w:val="0"/>
      <w:divBdr>
        <w:top w:val="none" w:sz="0" w:space="0" w:color="auto"/>
        <w:left w:val="none" w:sz="0" w:space="0" w:color="auto"/>
        <w:bottom w:val="none" w:sz="0" w:space="0" w:color="auto"/>
        <w:right w:val="none" w:sz="0" w:space="0" w:color="auto"/>
      </w:divBdr>
    </w:div>
    <w:div w:id="689986819">
      <w:bodyDiv w:val="1"/>
      <w:marLeft w:val="0"/>
      <w:marRight w:val="0"/>
      <w:marTop w:val="0"/>
      <w:marBottom w:val="0"/>
      <w:divBdr>
        <w:top w:val="none" w:sz="0" w:space="0" w:color="auto"/>
        <w:left w:val="none" w:sz="0" w:space="0" w:color="auto"/>
        <w:bottom w:val="none" w:sz="0" w:space="0" w:color="auto"/>
        <w:right w:val="none" w:sz="0" w:space="0" w:color="auto"/>
      </w:divBdr>
    </w:div>
    <w:div w:id="758258621">
      <w:bodyDiv w:val="1"/>
      <w:marLeft w:val="0"/>
      <w:marRight w:val="0"/>
      <w:marTop w:val="0"/>
      <w:marBottom w:val="0"/>
      <w:divBdr>
        <w:top w:val="none" w:sz="0" w:space="0" w:color="auto"/>
        <w:left w:val="none" w:sz="0" w:space="0" w:color="auto"/>
        <w:bottom w:val="none" w:sz="0" w:space="0" w:color="auto"/>
        <w:right w:val="none" w:sz="0" w:space="0" w:color="auto"/>
      </w:divBdr>
    </w:div>
    <w:div w:id="804275404">
      <w:bodyDiv w:val="1"/>
      <w:marLeft w:val="0"/>
      <w:marRight w:val="0"/>
      <w:marTop w:val="0"/>
      <w:marBottom w:val="0"/>
      <w:divBdr>
        <w:top w:val="none" w:sz="0" w:space="0" w:color="auto"/>
        <w:left w:val="none" w:sz="0" w:space="0" w:color="auto"/>
        <w:bottom w:val="none" w:sz="0" w:space="0" w:color="auto"/>
        <w:right w:val="none" w:sz="0" w:space="0" w:color="auto"/>
      </w:divBdr>
    </w:div>
    <w:div w:id="1048796563">
      <w:bodyDiv w:val="1"/>
      <w:marLeft w:val="0"/>
      <w:marRight w:val="0"/>
      <w:marTop w:val="0"/>
      <w:marBottom w:val="0"/>
      <w:divBdr>
        <w:top w:val="none" w:sz="0" w:space="0" w:color="auto"/>
        <w:left w:val="none" w:sz="0" w:space="0" w:color="auto"/>
        <w:bottom w:val="none" w:sz="0" w:space="0" w:color="auto"/>
        <w:right w:val="none" w:sz="0" w:space="0" w:color="auto"/>
      </w:divBdr>
    </w:div>
    <w:div w:id="1457871997">
      <w:bodyDiv w:val="1"/>
      <w:marLeft w:val="0"/>
      <w:marRight w:val="0"/>
      <w:marTop w:val="0"/>
      <w:marBottom w:val="0"/>
      <w:divBdr>
        <w:top w:val="none" w:sz="0" w:space="0" w:color="auto"/>
        <w:left w:val="none" w:sz="0" w:space="0" w:color="auto"/>
        <w:bottom w:val="none" w:sz="0" w:space="0" w:color="auto"/>
        <w:right w:val="none" w:sz="0" w:space="0" w:color="auto"/>
      </w:divBdr>
    </w:div>
    <w:div w:id="1738162778">
      <w:bodyDiv w:val="1"/>
      <w:marLeft w:val="0"/>
      <w:marRight w:val="0"/>
      <w:marTop w:val="0"/>
      <w:marBottom w:val="0"/>
      <w:divBdr>
        <w:top w:val="none" w:sz="0" w:space="0" w:color="auto"/>
        <w:left w:val="none" w:sz="0" w:space="0" w:color="auto"/>
        <w:bottom w:val="none" w:sz="0" w:space="0" w:color="auto"/>
        <w:right w:val="none" w:sz="0" w:space="0" w:color="auto"/>
      </w:divBdr>
    </w:div>
    <w:div w:id="1980765387">
      <w:bodyDiv w:val="1"/>
      <w:marLeft w:val="0"/>
      <w:marRight w:val="0"/>
      <w:marTop w:val="0"/>
      <w:marBottom w:val="0"/>
      <w:divBdr>
        <w:top w:val="none" w:sz="0" w:space="0" w:color="auto"/>
        <w:left w:val="none" w:sz="0" w:space="0" w:color="auto"/>
        <w:bottom w:val="none" w:sz="0" w:space="0" w:color="auto"/>
        <w:right w:val="none" w:sz="0" w:space="0" w:color="auto"/>
      </w:divBdr>
    </w:div>
    <w:div w:id="20817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3D876-CBB2-40ED-8826-A2B62E83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817</Words>
  <Characters>4821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Česká obchodní inspekce</vt:lpstr>
    </vt:vector>
  </TitlesOfParts>
  <Company>COI</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obchodní inspekce</dc:title>
  <dc:subject/>
  <dc:creator>vjanca</dc:creator>
  <cp:keywords/>
  <dc:description/>
  <cp:lastModifiedBy>Tichota Ondřej</cp:lastModifiedBy>
  <cp:revision>28</cp:revision>
  <cp:lastPrinted>2020-03-20T08:49:00Z</cp:lastPrinted>
  <dcterms:created xsi:type="dcterms:W3CDTF">2021-01-30T20:30:00Z</dcterms:created>
  <dcterms:modified xsi:type="dcterms:W3CDTF">2021-03-29T09:17:00Z</dcterms:modified>
</cp:coreProperties>
</file>