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127"/>
      </w:tblGrid>
      <w:tr w:rsidR="002D7F03" w:rsidRPr="00DD3768" w14:paraId="47B791CE" w14:textId="77777777" w:rsidTr="002D7F03">
        <w:trPr>
          <w:trHeight w:val="907"/>
        </w:trPr>
        <w:tc>
          <w:tcPr>
            <w:tcW w:w="3085" w:type="dxa"/>
            <w:shd w:val="clear" w:color="auto" w:fill="auto"/>
          </w:tcPr>
          <w:p w14:paraId="09F54504" w14:textId="19D900EE" w:rsidR="002D7F03" w:rsidRPr="00DD3768" w:rsidRDefault="008072AB" w:rsidP="002D7F03">
            <w:pPr>
              <w:rPr>
                <w:rFonts w:ascii="Calibri" w:hAnsi="Calibri"/>
                <w:lang w:val="en-GB"/>
              </w:rPr>
            </w:pPr>
            <w:r w:rsidRPr="00DD3768">
              <w:rPr>
                <w:rFonts w:ascii="Calibri" w:hAnsi="Calibri"/>
                <w:noProof/>
                <w:lang w:val="en-GB"/>
              </w:rPr>
              <w:drawing>
                <wp:inline distT="0" distB="0" distL="0" distR="0" wp14:anchorId="26838B5C" wp14:editId="60618FDD">
                  <wp:extent cx="1911350" cy="57785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7" w:type="dxa"/>
            <w:shd w:val="clear" w:color="auto" w:fill="D9D9D9"/>
            <w:vAlign w:val="center"/>
          </w:tcPr>
          <w:p w14:paraId="21655697" w14:textId="3A1C0772" w:rsidR="002D7F03" w:rsidRPr="00DD3768" w:rsidRDefault="007B31BC" w:rsidP="002D7F03">
            <w:pPr>
              <w:jc w:val="center"/>
              <w:rPr>
                <w:rFonts w:ascii="Calibri" w:hAnsi="Calibri" w:cs="Arial"/>
                <w:b/>
                <w:sz w:val="56"/>
                <w:szCs w:val="56"/>
                <w:lang w:val="en-GB"/>
              </w:rPr>
            </w:pPr>
            <w:r w:rsidRPr="00DD3768">
              <w:rPr>
                <w:rFonts w:ascii="Calibri" w:hAnsi="Calibri" w:cs="Arial"/>
                <w:b/>
                <w:sz w:val="56"/>
                <w:szCs w:val="56"/>
                <w:lang w:val="en-GB"/>
              </w:rPr>
              <w:t>PRESS RELEASE</w:t>
            </w:r>
          </w:p>
        </w:tc>
      </w:tr>
    </w:tbl>
    <w:p w14:paraId="68617974" w14:textId="77777777" w:rsidR="004E047A" w:rsidRPr="00DD3768" w:rsidRDefault="004E047A" w:rsidP="00C54DF4">
      <w:pPr>
        <w:jc w:val="both"/>
        <w:rPr>
          <w:rFonts w:ascii="Calibri" w:hAnsi="Calibri"/>
          <w:sz w:val="22"/>
          <w:szCs w:val="22"/>
          <w:lang w:val="en-GB"/>
        </w:rPr>
      </w:pPr>
    </w:p>
    <w:p w14:paraId="759C14DC" w14:textId="6846CF33" w:rsidR="002C35EB" w:rsidRPr="00DD3768" w:rsidRDefault="007B31BC" w:rsidP="00C55480">
      <w:pPr>
        <w:spacing w:before="120"/>
        <w:jc w:val="both"/>
        <w:rPr>
          <w:rFonts w:ascii="Calibri" w:hAnsi="Calibri" w:cs="Arial"/>
          <w:b/>
          <w:color w:val="0070C0"/>
          <w:sz w:val="32"/>
          <w:szCs w:val="32"/>
          <w:lang w:val="en-GB"/>
        </w:rPr>
      </w:pPr>
      <w:r w:rsidRPr="00DD3768">
        <w:rPr>
          <w:rFonts w:ascii="Calibri" w:hAnsi="Calibri" w:cs="Arial"/>
          <w:b/>
          <w:color w:val="0070C0"/>
          <w:sz w:val="32"/>
          <w:szCs w:val="32"/>
          <w:lang w:val="en-GB"/>
        </w:rPr>
        <w:t>CTIA: 10 cases of discrimination detected in 2020</w:t>
      </w:r>
    </w:p>
    <w:p w14:paraId="19FA23A4" w14:textId="40F9FB5B" w:rsidR="00C55480" w:rsidRPr="00DD3768" w:rsidRDefault="00C55480" w:rsidP="00C55480">
      <w:pPr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  <w:r w:rsidRPr="00DD3768">
        <w:rPr>
          <w:rFonts w:asciiTheme="minorHAnsi" w:hAnsiTheme="minorHAnsi" w:cstheme="minorHAnsi"/>
          <w:i/>
          <w:iCs/>
          <w:sz w:val="22"/>
          <w:szCs w:val="22"/>
          <w:lang w:val="en-GB"/>
        </w:rPr>
        <w:t>(</w:t>
      </w:r>
      <w:r w:rsidR="007B31BC" w:rsidRPr="00DD3768">
        <w:rPr>
          <w:rFonts w:asciiTheme="minorHAnsi" w:hAnsiTheme="minorHAnsi" w:cstheme="minorHAnsi"/>
          <w:i/>
          <w:iCs/>
          <w:sz w:val="22"/>
          <w:szCs w:val="22"/>
          <w:lang w:val="en-GB"/>
        </w:rPr>
        <w:t>Final report for</w:t>
      </w:r>
      <w:r w:rsidRPr="00DD3768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2020)</w:t>
      </w:r>
    </w:p>
    <w:p w14:paraId="709DF166" w14:textId="62F96A8F" w:rsidR="005871B6" w:rsidRPr="00DD3768" w:rsidRDefault="00AC5225" w:rsidP="005871B6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DD3768">
        <w:rPr>
          <w:rFonts w:asciiTheme="minorHAnsi" w:hAnsiTheme="minorHAnsi" w:cstheme="minorHAnsi"/>
          <w:b/>
          <w:i/>
          <w:sz w:val="22"/>
          <w:szCs w:val="22"/>
          <w:lang w:val="en-GB"/>
        </w:rPr>
        <w:t>(</w:t>
      </w:r>
      <w:r w:rsidR="0093311E" w:rsidRPr="00DD3768">
        <w:rPr>
          <w:rFonts w:asciiTheme="minorHAnsi" w:hAnsiTheme="minorHAnsi" w:cstheme="minorHAnsi"/>
          <w:b/>
          <w:i/>
          <w:sz w:val="22"/>
          <w:szCs w:val="22"/>
          <w:lang w:val="en-GB"/>
        </w:rPr>
        <w:t>Pra</w:t>
      </w:r>
      <w:r w:rsidR="007B31BC" w:rsidRPr="00DD3768">
        <w:rPr>
          <w:rFonts w:asciiTheme="minorHAnsi" w:hAnsiTheme="minorHAnsi" w:cstheme="minorHAnsi"/>
          <w:b/>
          <w:i/>
          <w:sz w:val="22"/>
          <w:szCs w:val="22"/>
          <w:lang w:val="en-GB"/>
        </w:rPr>
        <w:t>gue</w:t>
      </w:r>
      <w:r w:rsidR="001676F1" w:rsidRPr="00DD3768">
        <w:rPr>
          <w:rFonts w:asciiTheme="minorHAnsi" w:hAnsiTheme="minorHAnsi" w:cstheme="minorHAnsi"/>
          <w:b/>
          <w:i/>
          <w:sz w:val="22"/>
          <w:szCs w:val="22"/>
          <w:lang w:val="en-GB"/>
        </w:rPr>
        <w:t xml:space="preserve">, </w:t>
      </w:r>
      <w:r w:rsidR="007B31BC" w:rsidRPr="00DD3768">
        <w:rPr>
          <w:rFonts w:asciiTheme="minorHAnsi" w:hAnsiTheme="minorHAnsi" w:cstheme="minorHAnsi"/>
          <w:b/>
          <w:i/>
          <w:sz w:val="22"/>
          <w:szCs w:val="22"/>
          <w:lang w:val="en-GB"/>
        </w:rPr>
        <w:t xml:space="preserve">March </w:t>
      </w:r>
      <w:r w:rsidR="00CF3942" w:rsidRPr="00DD3768">
        <w:rPr>
          <w:rFonts w:asciiTheme="minorHAnsi" w:hAnsiTheme="minorHAnsi" w:cstheme="minorHAnsi"/>
          <w:b/>
          <w:i/>
          <w:sz w:val="22"/>
          <w:szCs w:val="22"/>
          <w:lang w:val="en-GB"/>
        </w:rPr>
        <w:t>12</w:t>
      </w:r>
      <w:r w:rsidR="007B31BC" w:rsidRPr="00DD3768">
        <w:rPr>
          <w:rFonts w:asciiTheme="minorHAnsi" w:hAnsiTheme="minorHAnsi" w:cstheme="minorHAnsi"/>
          <w:b/>
          <w:i/>
          <w:sz w:val="22"/>
          <w:szCs w:val="22"/>
          <w:lang w:val="en-GB"/>
        </w:rPr>
        <w:t>,</w:t>
      </w:r>
      <w:r w:rsidR="00DA3444" w:rsidRPr="00DD3768">
        <w:rPr>
          <w:rFonts w:asciiTheme="minorHAnsi" w:hAnsiTheme="minorHAnsi" w:cstheme="minorHAnsi"/>
          <w:b/>
          <w:i/>
          <w:sz w:val="22"/>
          <w:szCs w:val="22"/>
          <w:lang w:val="en-GB"/>
        </w:rPr>
        <w:t xml:space="preserve"> 202</w:t>
      </w:r>
      <w:r w:rsidR="000B5C40" w:rsidRPr="00DD3768">
        <w:rPr>
          <w:rFonts w:asciiTheme="minorHAnsi" w:hAnsiTheme="minorHAnsi" w:cstheme="minorHAnsi"/>
          <w:b/>
          <w:i/>
          <w:sz w:val="22"/>
          <w:szCs w:val="22"/>
          <w:lang w:val="en-GB"/>
        </w:rPr>
        <w:t>1</w:t>
      </w:r>
      <w:r w:rsidR="00CE0241" w:rsidRPr="00DD3768">
        <w:rPr>
          <w:rFonts w:asciiTheme="minorHAnsi" w:hAnsiTheme="minorHAnsi" w:cstheme="minorHAnsi"/>
          <w:b/>
          <w:i/>
          <w:sz w:val="22"/>
          <w:szCs w:val="22"/>
          <w:lang w:val="en-GB"/>
        </w:rPr>
        <w:t>)</w:t>
      </w:r>
      <w:r w:rsidRPr="00DD3768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5871B6" w:rsidRPr="00DD3768">
        <w:rPr>
          <w:rFonts w:asciiTheme="minorHAnsi" w:hAnsiTheme="minorHAnsi" w:cstheme="minorHAnsi"/>
          <w:b/>
          <w:sz w:val="22"/>
          <w:szCs w:val="22"/>
          <w:lang w:val="en-GB"/>
        </w:rPr>
        <w:t xml:space="preserve">During the last year, the Czech Trade Inspection Authority </w:t>
      </w:r>
      <w:r w:rsidR="005871B6" w:rsidRPr="00DD3768">
        <w:rPr>
          <w:rFonts w:asciiTheme="minorHAnsi" w:hAnsiTheme="minorHAnsi" w:cstheme="minorHAnsi"/>
          <w:b/>
          <w:sz w:val="22"/>
          <w:szCs w:val="22"/>
          <w:lang w:val="en-GB"/>
        </w:rPr>
        <w:t>inspected</w:t>
      </w:r>
      <w:r w:rsidR="005871B6" w:rsidRPr="00DD3768">
        <w:rPr>
          <w:rFonts w:asciiTheme="minorHAnsi" w:hAnsiTheme="minorHAnsi" w:cstheme="minorHAnsi"/>
          <w:b/>
          <w:sz w:val="22"/>
          <w:szCs w:val="22"/>
          <w:lang w:val="en-GB"/>
        </w:rPr>
        <w:t xml:space="preserve"> whether there were any forms of discrimination against consumers on the part of traders. </w:t>
      </w:r>
      <w:proofErr w:type="gramStart"/>
      <w:r w:rsidR="005871B6" w:rsidRPr="00DD3768">
        <w:rPr>
          <w:rFonts w:asciiTheme="minorHAnsi" w:hAnsiTheme="minorHAnsi" w:cstheme="minorHAnsi"/>
          <w:b/>
          <w:sz w:val="22"/>
          <w:szCs w:val="22"/>
          <w:lang w:val="en-GB"/>
        </w:rPr>
        <w:t>A total of 658</w:t>
      </w:r>
      <w:proofErr w:type="gramEnd"/>
      <w:r w:rsidR="005871B6" w:rsidRPr="00DD3768">
        <w:rPr>
          <w:rFonts w:asciiTheme="minorHAnsi" w:hAnsiTheme="minorHAnsi" w:cstheme="minorHAnsi"/>
          <w:b/>
          <w:sz w:val="22"/>
          <w:szCs w:val="22"/>
          <w:lang w:val="en-GB"/>
        </w:rPr>
        <w:t xml:space="preserve"> inspections were carried out and </w:t>
      </w:r>
      <w:r w:rsidR="005871B6" w:rsidRPr="00DD3768">
        <w:rPr>
          <w:rFonts w:asciiTheme="minorHAnsi" w:hAnsiTheme="minorHAnsi" w:cstheme="minorHAnsi"/>
          <w:b/>
          <w:sz w:val="22"/>
          <w:szCs w:val="22"/>
          <w:lang w:val="en-GB"/>
        </w:rPr>
        <w:t>there were suspicions of</w:t>
      </w:r>
      <w:r w:rsidR="005871B6" w:rsidRPr="00DD3768">
        <w:rPr>
          <w:rFonts w:asciiTheme="minorHAnsi" w:hAnsiTheme="minorHAnsi" w:cstheme="minorHAnsi"/>
          <w:b/>
          <w:sz w:val="22"/>
          <w:szCs w:val="22"/>
          <w:lang w:val="en-GB"/>
        </w:rPr>
        <w:t xml:space="preserve"> consumer discrimination</w:t>
      </w:r>
      <w:r w:rsidR="005871B6" w:rsidRPr="00DD3768">
        <w:rPr>
          <w:rFonts w:asciiTheme="minorHAnsi" w:hAnsiTheme="minorHAnsi" w:cstheme="minorHAnsi"/>
          <w:b/>
          <w:sz w:val="22"/>
          <w:szCs w:val="22"/>
          <w:lang w:val="en-GB"/>
        </w:rPr>
        <w:t xml:space="preserve"> in </w:t>
      </w:r>
      <w:r w:rsidR="005871B6" w:rsidRPr="00DD3768">
        <w:rPr>
          <w:rFonts w:asciiTheme="minorHAnsi" w:hAnsiTheme="minorHAnsi" w:cstheme="minorHAnsi"/>
          <w:b/>
          <w:sz w:val="22"/>
          <w:szCs w:val="22"/>
          <w:lang w:val="en-GB"/>
        </w:rPr>
        <w:t>10 cases.</w:t>
      </w:r>
      <w:r w:rsidR="00773D1C" w:rsidRPr="00DD3768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</w:p>
    <w:p w14:paraId="6C6A197F" w14:textId="09933983" w:rsidR="005871B6" w:rsidRPr="00DD3768" w:rsidRDefault="005871B6" w:rsidP="005871B6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The Czech Trade Inspection Authority carried out a consumer protection inspection 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>from 2 January to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 31 December 2020. </w:t>
      </w:r>
      <w:proofErr w:type="gramStart"/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In particular, these 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>inspections aimed at compliance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 with Section 6 of the Consumer Protection Act No. 634/1992 Coll., which prohibits the seller from discriminating consumers when selling products or providing services, i.e. 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it 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prohibits such conduct where one person is treated less favourably than 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>another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 person is treated or</w:t>
      </w:r>
      <w:r w:rsidR="0067157C"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 was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 treated or would be treated by another person in a comparable situation, in particular because of race, ethnic origin, nationality, gender, sexual orientation, age</w:t>
      </w:r>
      <w:r w:rsidR="00773D1C" w:rsidRPr="00DD3768">
        <w:rPr>
          <w:rFonts w:asciiTheme="minorHAnsi" w:hAnsiTheme="minorHAnsi" w:cstheme="minorHAnsi"/>
          <w:sz w:val="22"/>
          <w:szCs w:val="22"/>
          <w:lang w:val="en-GB"/>
        </w:rPr>
        <w:t>,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 disability, faith, religion and world opinion.</w:t>
      </w:r>
      <w:proofErr w:type="gramEnd"/>
    </w:p>
    <w:p w14:paraId="75653863" w14:textId="6CEA0442" w:rsidR="00773D1C" w:rsidRPr="00DD3768" w:rsidRDefault="00773D1C" w:rsidP="00773D1C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D3768">
        <w:rPr>
          <w:rFonts w:asciiTheme="minorHAnsi" w:hAnsiTheme="minorHAnsi" w:cstheme="minorHAnsi"/>
          <w:sz w:val="22"/>
          <w:szCs w:val="22"/>
          <w:lang w:val="en-GB"/>
        </w:rPr>
        <w:t>The C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>TIA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 carried out </w:t>
      </w:r>
      <w:proofErr w:type="gramStart"/>
      <w:r w:rsidRPr="00DD3768">
        <w:rPr>
          <w:rFonts w:asciiTheme="minorHAnsi" w:hAnsiTheme="minorHAnsi" w:cstheme="minorHAnsi"/>
          <w:sz w:val="22"/>
          <w:szCs w:val="22"/>
          <w:lang w:val="en-GB"/>
        </w:rPr>
        <w:t>a total of 658</w:t>
      </w:r>
      <w:proofErr w:type="gramEnd"/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 inspections and identified suspicions of any form of discrimination in 10 cases. In </w:t>
      </w:r>
      <w:proofErr w:type="gramStart"/>
      <w:r w:rsidRPr="00DD3768">
        <w:rPr>
          <w:rFonts w:asciiTheme="minorHAnsi" w:hAnsiTheme="minorHAnsi" w:cstheme="minorHAnsi"/>
          <w:sz w:val="22"/>
          <w:szCs w:val="22"/>
          <w:lang w:val="en-GB"/>
        </w:rPr>
        <w:t>7</w:t>
      </w:r>
      <w:proofErr w:type="gramEnd"/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 cases, suspected discriminatory behaviour has already been 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>proven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4633B460" w14:textId="222B3E90" w:rsidR="00773D1C" w:rsidRPr="00DD3768" w:rsidRDefault="00773D1C" w:rsidP="00773D1C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In addition to 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inspections aimed at consumer discrimination, the 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>CTIA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 also 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>inspected the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 compliance with other legislation. It 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>saw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 violations in </w:t>
      </w:r>
      <w:proofErr w:type="gramStart"/>
      <w:r w:rsidRPr="00DD3768">
        <w:rPr>
          <w:rFonts w:asciiTheme="minorHAnsi" w:hAnsiTheme="minorHAnsi" w:cstheme="minorHAnsi"/>
          <w:sz w:val="22"/>
          <w:szCs w:val="22"/>
          <w:lang w:val="en-GB"/>
        </w:rPr>
        <w:t>a total of 254</w:t>
      </w:r>
      <w:proofErr w:type="gramEnd"/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 cases.</w:t>
      </w:r>
    </w:p>
    <w:p w14:paraId="2EF74D36" w14:textId="77777777" w:rsidR="00CF3942" w:rsidRPr="00DD3768" w:rsidRDefault="00CF3942" w:rsidP="00CF3942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1385"/>
        <w:gridCol w:w="1231"/>
        <w:gridCol w:w="992"/>
        <w:gridCol w:w="1276"/>
        <w:gridCol w:w="1275"/>
      </w:tblGrid>
      <w:tr w:rsidR="00CF3942" w:rsidRPr="00DD3768" w14:paraId="6F62BA94" w14:textId="77777777" w:rsidTr="00800FCB">
        <w:trPr>
          <w:trHeight w:val="290"/>
        </w:trPr>
        <w:tc>
          <w:tcPr>
            <w:tcW w:w="2903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059D4A7" w14:textId="44FF7C07" w:rsidR="00CF3942" w:rsidRPr="00DD3768" w:rsidRDefault="00773D1C" w:rsidP="00800F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Inspectorate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13FE1CF" w14:textId="1CE6D812" w:rsidR="00CF3942" w:rsidRPr="00DD3768" w:rsidRDefault="00773D1C" w:rsidP="00800F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Number of inspections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3AC6A58E" w14:textId="0DBDBD8F" w:rsidR="00CF3942" w:rsidRPr="00DD3768" w:rsidRDefault="00773D1C" w:rsidP="00800F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Inspections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14:paraId="71CA0D07" w14:textId="77777777" w:rsidR="00CF3942" w:rsidRPr="00DD3768" w:rsidRDefault="00CF3942" w:rsidP="00800F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proofErr w:type="spellStart"/>
            <w:r w:rsidRPr="00DD37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Zjištění</w:t>
            </w:r>
            <w:proofErr w:type="spellEnd"/>
            <w:r w:rsidRPr="00DD37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 v %</w:t>
            </w:r>
          </w:p>
        </w:tc>
      </w:tr>
      <w:tr w:rsidR="00CF3942" w:rsidRPr="00DD3768" w14:paraId="7D0074BE" w14:textId="77777777" w:rsidTr="00800FCB">
        <w:trPr>
          <w:trHeight w:val="300"/>
        </w:trPr>
        <w:tc>
          <w:tcPr>
            <w:tcW w:w="2903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99CB57B" w14:textId="77777777" w:rsidR="00CF3942" w:rsidRPr="00DD3768" w:rsidRDefault="00CF3942" w:rsidP="00800FCB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BEAF0F2" w14:textId="77777777" w:rsidR="00CF3942" w:rsidRPr="00DD3768" w:rsidRDefault="00CF3942" w:rsidP="00800FCB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14:paraId="0F2A55C6" w14:textId="3BC75CC2" w:rsidR="00CF3942" w:rsidRPr="00DD3768" w:rsidRDefault="00773D1C" w:rsidP="00800F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14:paraId="662948F2" w14:textId="5F1533F6" w:rsidR="00CF3942" w:rsidRPr="00DD3768" w:rsidRDefault="00773D1C" w:rsidP="00800F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Section</w:t>
            </w:r>
            <w:r w:rsidR="00CF3942" w:rsidRPr="00DD37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58E058B5" w14:textId="1D039E80" w:rsidR="00CF3942" w:rsidRPr="00DD3768" w:rsidRDefault="00773D1C" w:rsidP="00800F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31B80E11" w14:textId="30A215BC" w:rsidR="00CF3942" w:rsidRPr="00DD3768" w:rsidRDefault="00773D1C" w:rsidP="00800F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Section</w:t>
            </w:r>
            <w:r w:rsidR="00CF3942" w:rsidRPr="00DD37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 6</w:t>
            </w:r>
          </w:p>
        </w:tc>
      </w:tr>
      <w:tr w:rsidR="00CF3942" w:rsidRPr="00DD3768" w14:paraId="3EB5531A" w14:textId="77777777" w:rsidTr="00800FCB">
        <w:trPr>
          <w:trHeight w:val="300"/>
        </w:trPr>
        <w:tc>
          <w:tcPr>
            <w:tcW w:w="2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58BA3AC" w14:textId="2149DC90" w:rsidR="00CF3942" w:rsidRPr="00DD3768" w:rsidRDefault="00CF3942" w:rsidP="00773D1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Středočeský </w:t>
            </w:r>
            <w:r w:rsidR="00773D1C"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and Prague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912C0B2" w14:textId="77777777" w:rsidR="00CF3942" w:rsidRPr="00DD3768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4F7743E1" w14:textId="77777777" w:rsidR="00CF3942" w:rsidRPr="00DD3768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2D73F910" w14:textId="77777777" w:rsidR="00CF3942" w:rsidRPr="00DD3768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5526AAFC" w14:textId="4BAA9134" w:rsidR="00CF3942" w:rsidRPr="00DD3768" w:rsidRDefault="00773D1C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68.</w:t>
            </w:r>
            <w:r w:rsidR="00CF3942"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8%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477A6D06" w14:textId="3AE57775" w:rsidR="00CF3942" w:rsidRPr="00DD3768" w:rsidRDefault="00773D1C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31.</w:t>
            </w:r>
            <w:r w:rsidR="00CF3942"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3%</w:t>
            </w:r>
          </w:p>
        </w:tc>
      </w:tr>
      <w:tr w:rsidR="00CF3942" w:rsidRPr="00DD3768" w14:paraId="1E3EF919" w14:textId="77777777" w:rsidTr="00800FCB">
        <w:trPr>
          <w:trHeight w:val="290"/>
        </w:trPr>
        <w:tc>
          <w:tcPr>
            <w:tcW w:w="2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D41D0B4" w14:textId="5CA0D1E6" w:rsidR="00CF3942" w:rsidRPr="00DD3768" w:rsidRDefault="00CF3942" w:rsidP="00800FC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Jihočeský a</w:t>
            </w:r>
            <w:r w:rsidR="00773D1C"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nd</w:t>
            </w: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 Vysočina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0F0756F" w14:textId="77777777" w:rsidR="00CF3942" w:rsidRPr="00DD3768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37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3D620AE" w14:textId="77777777" w:rsidR="00CF3942" w:rsidRPr="00DD3768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8B088B4" w14:textId="77777777" w:rsidR="00CF3942" w:rsidRPr="00DD3768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77944E6" w14:textId="6646C679" w:rsidR="00CF3942" w:rsidRPr="00DD3768" w:rsidRDefault="00773D1C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18.</w:t>
            </w:r>
            <w:r w:rsidR="00CF3942"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9%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5254E76C" w14:textId="4C81E509" w:rsidR="00CF3942" w:rsidRPr="00DD3768" w:rsidRDefault="00773D1C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2.</w:t>
            </w:r>
            <w:r w:rsidR="00CF3942"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7%</w:t>
            </w:r>
          </w:p>
        </w:tc>
      </w:tr>
      <w:tr w:rsidR="00CF3942" w:rsidRPr="00DD3768" w14:paraId="7C0651CF" w14:textId="77777777" w:rsidTr="00800FCB">
        <w:trPr>
          <w:trHeight w:val="290"/>
        </w:trPr>
        <w:tc>
          <w:tcPr>
            <w:tcW w:w="2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0E6E5E8" w14:textId="6442819B" w:rsidR="00CF3942" w:rsidRPr="00DD3768" w:rsidRDefault="00CF3942" w:rsidP="00800FC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Plzeňský a</w:t>
            </w:r>
            <w:r w:rsidR="00773D1C"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nd</w:t>
            </w: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 Karlovarský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50EED77" w14:textId="77777777" w:rsidR="00CF3942" w:rsidRPr="00DD3768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38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08B8D58F" w14:textId="77777777" w:rsidR="00CF3942" w:rsidRPr="00DD3768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35E594EF" w14:textId="77777777" w:rsidR="00CF3942" w:rsidRPr="00DD3768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438F6153" w14:textId="447B06D4" w:rsidR="00CF3942" w:rsidRPr="00DD3768" w:rsidRDefault="00773D1C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31.</w:t>
            </w:r>
            <w:r w:rsidR="00CF3942"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6%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6E959872" w14:textId="5E211C21" w:rsidR="00CF3942" w:rsidRPr="00DD3768" w:rsidRDefault="00773D1C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0.</w:t>
            </w:r>
            <w:r w:rsidR="00CF3942"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0%</w:t>
            </w:r>
          </w:p>
        </w:tc>
      </w:tr>
      <w:tr w:rsidR="00CF3942" w:rsidRPr="00DD3768" w14:paraId="4AE9C487" w14:textId="77777777" w:rsidTr="00800FCB">
        <w:trPr>
          <w:trHeight w:val="290"/>
        </w:trPr>
        <w:tc>
          <w:tcPr>
            <w:tcW w:w="2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97D70E8" w14:textId="33BC41C0" w:rsidR="00CF3942" w:rsidRPr="00DD3768" w:rsidRDefault="00CF3942" w:rsidP="00800FC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Ústecký a</w:t>
            </w:r>
            <w:r w:rsidR="00773D1C"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nd</w:t>
            </w: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 Liberecký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C612DBF" w14:textId="77777777" w:rsidR="00CF3942" w:rsidRPr="00DD3768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14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372504CE" w14:textId="77777777" w:rsidR="00CF3942" w:rsidRPr="00DD3768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2361599" w14:textId="77777777" w:rsidR="00CF3942" w:rsidRPr="00DD3768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FE7625B" w14:textId="30C376B1" w:rsidR="00CF3942" w:rsidRPr="00DD3768" w:rsidRDefault="00773D1C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21.</w:t>
            </w:r>
            <w:r w:rsidR="00CF3942"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4%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3AB4F362" w14:textId="70EF2F9C" w:rsidR="00CF3942" w:rsidRPr="00DD3768" w:rsidRDefault="00773D1C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7.</w:t>
            </w:r>
            <w:r w:rsidR="00CF3942"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1%</w:t>
            </w:r>
          </w:p>
        </w:tc>
      </w:tr>
      <w:tr w:rsidR="00CF3942" w:rsidRPr="00DD3768" w14:paraId="09DD4A0D" w14:textId="77777777" w:rsidTr="00800FCB">
        <w:trPr>
          <w:trHeight w:val="290"/>
        </w:trPr>
        <w:tc>
          <w:tcPr>
            <w:tcW w:w="2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525454A" w14:textId="3D7DA2FF" w:rsidR="00CF3942" w:rsidRPr="00DD3768" w:rsidRDefault="00CF3942" w:rsidP="00800FC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Královéhradecký a</w:t>
            </w:r>
            <w:r w:rsidR="00773D1C"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nd</w:t>
            </w: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 Pardubický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1DFDDFC" w14:textId="77777777" w:rsidR="00CF3942" w:rsidRPr="00DD3768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46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0453C592" w14:textId="77777777" w:rsidR="00CF3942" w:rsidRPr="00DD3768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1CCF2E49" w14:textId="77777777" w:rsidR="00CF3942" w:rsidRPr="00DD3768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532F727D" w14:textId="1EF92C61" w:rsidR="00CF3942" w:rsidRPr="00DD3768" w:rsidRDefault="00773D1C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17.</w:t>
            </w:r>
            <w:r w:rsidR="00CF3942"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4%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5E47F70B" w14:textId="37C470D8" w:rsidR="00CF3942" w:rsidRPr="00DD3768" w:rsidRDefault="00773D1C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2.</w:t>
            </w:r>
            <w:r w:rsidR="00CF3942"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2%</w:t>
            </w:r>
          </w:p>
        </w:tc>
      </w:tr>
      <w:tr w:rsidR="00CF3942" w:rsidRPr="00DD3768" w14:paraId="29B046C5" w14:textId="77777777" w:rsidTr="00800FCB">
        <w:trPr>
          <w:trHeight w:val="290"/>
        </w:trPr>
        <w:tc>
          <w:tcPr>
            <w:tcW w:w="2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96E7B2A" w14:textId="78E8095E" w:rsidR="00CF3942" w:rsidRPr="00DD3768" w:rsidRDefault="00CF3942" w:rsidP="00800FC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Jihomoravský a</w:t>
            </w:r>
            <w:r w:rsidR="00773D1C"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nd</w:t>
            </w: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 Zlínský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E77B4B3" w14:textId="77777777" w:rsidR="00CF3942" w:rsidRPr="00DD3768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27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15C2AF2" w14:textId="77777777" w:rsidR="00CF3942" w:rsidRPr="00DD3768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7E83964" w14:textId="77777777" w:rsidR="00CF3942" w:rsidRPr="00DD3768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32EE8301" w14:textId="3DAFE2AA" w:rsidR="00CF3942" w:rsidRPr="00DD3768" w:rsidRDefault="00773D1C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33.</w:t>
            </w:r>
            <w:r w:rsidR="00CF3942"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3%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03247BDC" w14:textId="348727AE" w:rsidR="00CF3942" w:rsidRPr="00DD3768" w:rsidRDefault="00773D1C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3.</w:t>
            </w:r>
            <w:r w:rsidR="00CF3942"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7%</w:t>
            </w:r>
          </w:p>
        </w:tc>
      </w:tr>
      <w:tr w:rsidR="00CF3942" w:rsidRPr="00DD3768" w14:paraId="3AE45433" w14:textId="77777777" w:rsidTr="00800FCB">
        <w:trPr>
          <w:trHeight w:val="300"/>
        </w:trPr>
        <w:tc>
          <w:tcPr>
            <w:tcW w:w="29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A97AE9C" w14:textId="6A463D41" w:rsidR="00CF3942" w:rsidRPr="00DD3768" w:rsidRDefault="00CF3942" w:rsidP="00800FC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Olomoucký a</w:t>
            </w:r>
            <w:r w:rsidR="00773D1C"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nd</w:t>
            </w: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 Moravskoslezský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8128C9C" w14:textId="77777777" w:rsidR="00CF3942" w:rsidRPr="00DD3768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480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AA912C3" w14:textId="77777777" w:rsidR="00CF3942" w:rsidRPr="00DD3768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204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341B7BB" w14:textId="77777777" w:rsidR="00CF3942" w:rsidRPr="00DD3768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B324233" w14:textId="4D06996E" w:rsidR="00CF3942" w:rsidRPr="00DD3768" w:rsidRDefault="00773D1C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42.</w:t>
            </w:r>
            <w:r w:rsidR="00CF3942"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1%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42225A05" w14:textId="2B1F1BEE" w:rsidR="00CF3942" w:rsidRPr="00DD3768" w:rsidRDefault="00773D1C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0.</w:t>
            </w:r>
            <w:r w:rsidR="00CF3942" w:rsidRPr="00DD376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2%</w:t>
            </w:r>
          </w:p>
        </w:tc>
      </w:tr>
      <w:tr w:rsidR="00CF3942" w:rsidRPr="00DD3768" w14:paraId="5196DBD3" w14:textId="77777777" w:rsidTr="00800FCB">
        <w:trPr>
          <w:trHeight w:val="390"/>
        </w:trPr>
        <w:tc>
          <w:tcPr>
            <w:tcW w:w="2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47EEEF5" w14:textId="167F96CB" w:rsidR="00CF3942" w:rsidRPr="00DD3768" w:rsidRDefault="00773D1C" w:rsidP="00800FC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Total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4A22350" w14:textId="77777777" w:rsidR="00CF3942" w:rsidRPr="00DD3768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658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B31AD00" w14:textId="77777777" w:rsidR="00CF3942" w:rsidRPr="00DD3768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254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BC69313" w14:textId="77777777" w:rsidR="00CF3942" w:rsidRPr="00DD3768" w:rsidRDefault="00CF3942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10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C04EA9C" w14:textId="47878FE7" w:rsidR="00CF3942" w:rsidRPr="00DD3768" w:rsidRDefault="00773D1C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38.</w:t>
            </w:r>
            <w:r w:rsidR="00CF3942" w:rsidRPr="00DD376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6%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43A9510B" w14:textId="01266B96" w:rsidR="00CF3942" w:rsidRPr="00DD3768" w:rsidRDefault="00773D1C" w:rsidP="00800FCB">
            <w:pPr>
              <w:ind w:firstLineChars="200" w:firstLine="440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DD376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1.</w:t>
            </w:r>
            <w:r w:rsidR="00CF3942" w:rsidRPr="00DD376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5%</w:t>
            </w:r>
          </w:p>
        </w:tc>
      </w:tr>
    </w:tbl>
    <w:p w14:paraId="237C1CC6" w14:textId="77777777" w:rsidR="00CF3942" w:rsidRPr="00DD3768" w:rsidRDefault="00CF3942" w:rsidP="00CF3942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7D9F0613" w14:textId="77777777" w:rsidR="00BD62D2" w:rsidRPr="00DD3768" w:rsidRDefault="00BD62D2" w:rsidP="00F66682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bookmarkStart w:id="0" w:name="_GoBack"/>
      <w:bookmarkEnd w:id="0"/>
    </w:p>
    <w:p w14:paraId="4C1356D6" w14:textId="77777777" w:rsidR="00BD62D2" w:rsidRPr="00DD3768" w:rsidRDefault="00BD62D2" w:rsidP="00F66682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6B6899B7" w14:textId="0298911D" w:rsidR="00CF3942" w:rsidRPr="00DD3768" w:rsidRDefault="00BD62D2" w:rsidP="00F66682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DD3768">
        <w:rPr>
          <w:rFonts w:asciiTheme="minorHAnsi" w:hAnsiTheme="minorHAnsi" w:cstheme="minorHAnsi"/>
          <w:b/>
          <w:sz w:val="22"/>
          <w:szCs w:val="22"/>
          <w:lang w:val="en-GB"/>
        </w:rPr>
        <w:lastRenderedPageBreak/>
        <w:t>Detected flaws</w:t>
      </w:r>
    </w:p>
    <w:p w14:paraId="2AF6CAB9" w14:textId="23DEBBAB" w:rsidR="00CF3942" w:rsidRPr="00DD3768" w:rsidRDefault="00BD62D2" w:rsidP="00F6668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D3768">
        <w:rPr>
          <w:rFonts w:asciiTheme="minorHAnsi" w:hAnsiTheme="minorHAnsi" w:cstheme="minorHAnsi"/>
          <w:sz w:val="22"/>
          <w:szCs w:val="22"/>
          <w:u w:val="single"/>
          <w:lang w:val="en-GB"/>
        </w:rPr>
        <w:t>The suspected violation of Section 6 of Act No. 634/1992 Coll.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, which prohibits the seller from discriminating consumers when selling products or providing services, arose in </w:t>
      </w:r>
      <w:r w:rsidR="003C151C" w:rsidRPr="00DD3768">
        <w:rPr>
          <w:rFonts w:asciiTheme="minorHAnsi" w:hAnsiTheme="minorHAnsi" w:cstheme="minorHAnsi"/>
          <w:sz w:val="22"/>
          <w:szCs w:val="22"/>
          <w:lang w:val="en-GB"/>
        </w:rPr>
        <w:t>the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 total of 10 cases. In </w:t>
      </w:r>
      <w:proofErr w:type="gramStart"/>
      <w:r w:rsidRPr="00DD3768">
        <w:rPr>
          <w:rFonts w:asciiTheme="minorHAnsi" w:hAnsiTheme="minorHAnsi" w:cstheme="minorHAnsi"/>
          <w:sz w:val="22"/>
          <w:szCs w:val="22"/>
          <w:lang w:val="en-GB"/>
        </w:rPr>
        <w:t>7</w:t>
      </w:r>
      <w:proofErr w:type="gramEnd"/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 cases, this suspicion of discriminatory behaviour has already been </w:t>
      </w:r>
      <w:r w:rsidR="003C151C" w:rsidRPr="00DD3768">
        <w:rPr>
          <w:rFonts w:asciiTheme="minorHAnsi" w:hAnsiTheme="minorHAnsi" w:cstheme="minorHAnsi"/>
          <w:sz w:val="22"/>
          <w:szCs w:val="22"/>
          <w:lang w:val="en-GB"/>
        </w:rPr>
        <w:t>proven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58CBEB3B" w14:textId="4675721C" w:rsidR="00CF3942" w:rsidRPr="00DD3768" w:rsidRDefault="003C151C" w:rsidP="00F6668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D3768">
        <w:rPr>
          <w:rFonts w:asciiTheme="minorHAnsi" w:hAnsiTheme="minorHAnsi" w:cstheme="minorHAnsi"/>
          <w:sz w:val="22"/>
          <w:szCs w:val="22"/>
          <w:lang w:val="en-GB"/>
        </w:rPr>
        <w:t>There were for example the following cases of discrimination</w:t>
      </w:r>
      <w:r w:rsidR="00CF3942" w:rsidRPr="00DD3768">
        <w:rPr>
          <w:rFonts w:asciiTheme="minorHAnsi" w:hAnsiTheme="minorHAnsi" w:cstheme="minorHAnsi"/>
          <w:sz w:val="22"/>
          <w:szCs w:val="22"/>
          <w:lang w:val="en-GB"/>
        </w:rPr>
        <w:t>:</w:t>
      </w:r>
    </w:p>
    <w:p w14:paraId="643A04BA" w14:textId="74CA5DFA" w:rsidR="003C151C" w:rsidRPr="00DD3768" w:rsidRDefault="003C151C" w:rsidP="003C151C">
      <w:pPr>
        <w:pStyle w:val="Odstavecseseznamem"/>
        <w:numPr>
          <w:ilvl w:val="0"/>
          <w:numId w:val="44"/>
        </w:numPr>
        <w:spacing w:before="120" w:after="120"/>
        <w:jc w:val="both"/>
        <w:rPr>
          <w:rFonts w:asciiTheme="minorHAnsi" w:hAnsiTheme="minorHAnsi" w:cstheme="minorHAnsi"/>
          <w:lang w:val="en-GB"/>
        </w:rPr>
      </w:pPr>
      <w:r w:rsidRPr="00DD3768">
        <w:rPr>
          <w:rFonts w:asciiTheme="minorHAnsi" w:hAnsiTheme="minorHAnsi" w:cstheme="minorHAnsi"/>
          <w:lang w:val="en-GB"/>
        </w:rPr>
        <w:t>In one case,</w:t>
      </w:r>
      <w:r w:rsidRPr="00DD3768">
        <w:rPr>
          <w:rFonts w:asciiTheme="minorHAnsi" w:hAnsiTheme="minorHAnsi" w:cstheme="minorHAnsi"/>
          <w:lang w:val="en-GB"/>
        </w:rPr>
        <w:t xml:space="preserve"> different </w:t>
      </w:r>
      <w:r w:rsidR="005A4F68" w:rsidRPr="00DD3768">
        <w:rPr>
          <w:rFonts w:asciiTheme="minorHAnsi" w:hAnsiTheme="minorHAnsi" w:cstheme="minorHAnsi"/>
          <w:lang w:val="en-GB"/>
        </w:rPr>
        <w:t>water rate</w:t>
      </w:r>
      <w:r w:rsidRPr="00DD3768">
        <w:rPr>
          <w:rFonts w:asciiTheme="minorHAnsi" w:hAnsiTheme="minorHAnsi" w:cstheme="minorHAnsi"/>
          <w:lang w:val="en-GB"/>
        </w:rPr>
        <w:t xml:space="preserve"> pricing </w:t>
      </w:r>
      <w:r w:rsidR="005A4F68" w:rsidRPr="00DD3768">
        <w:rPr>
          <w:rFonts w:asciiTheme="minorHAnsi" w:hAnsiTheme="minorHAnsi" w:cstheme="minorHAnsi"/>
          <w:lang w:val="en-GB"/>
        </w:rPr>
        <w:t>was found</w:t>
      </w:r>
      <w:r w:rsidRPr="00DD3768">
        <w:rPr>
          <w:rFonts w:asciiTheme="minorHAnsi" w:hAnsiTheme="minorHAnsi" w:cstheme="minorHAnsi"/>
          <w:lang w:val="en-GB"/>
        </w:rPr>
        <w:t xml:space="preserve"> for residents with a permanent residence </w:t>
      </w:r>
      <w:r w:rsidR="005A4F68" w:rsidRPr="00DD3768">
        <w:rPr>
          <w:rFonts w:asciiTheme="minorHAnsi" w:hAnsiTheme="minorHAnsi" w:cstheme="minorHAnsi"/>
          <w:lang w:val="en-GB"/>
        </w:rPr>
        <w:t>(CZK 25/m3)</w:t>
      </w:r>
      <w:r w:rsidRPr="00DD3768">
        <w:rPr>
          <w:rFonts w:asciiTheme="minorHAnsi" w:hAnsiTheme="minorHAnsi" w:cstheme="minorHAnsi"/>
          <w:lang w:val="en-GB"/>
        </w:rPr>
        <w:t xml:space="preserve"> and for other residents with non-permanent residence </w:t>
      </w:r>
      <w:proofErr w:type="gramStart"/>
      <w:r w:rsidR="005A4F68" w:rsidRPr="00DD3768">
        <w:rPr>
          <w:rFonts w:asciiTheme="minorHAnsi" w:hAnsiTheme="minorHAnsi" w:cstheme="minorHAnsi"/>
          <w:lang w:val="en-GB"/>
        </w:rPr>
        <w:t>(</w:t>
      </w:r>
      <w:r w:rsidRPr="00DD3768">
        <w:rPr>
          <w:rFonts w:asciiTheme="minorHAnsi" w:hAnsiTheme="minorHAnsi" w:cstheme="minorHAnsi"/>
          <w:lang w:val="en-GB"/>
        </w:rPr>
        <w:t xml:space="preserve"> CZK</w:t>
      </w:r>
      <w:proofErr w:type="gramEnd"/>
      <w:r w:rsidRPr="00DD3768">
        <w:rPr>
          <w:rFonts w:asciiTheme="minorHAnsi" w:hAnsiTheme="minorHAnsi" w:cstheme="minorHAnsi"/>
          <w:lang w:val="en-GB"/>
        </w:rPr>
        <w:t xml:space="preserve"> 50/m3</w:t>
      </w:r>
      <w:r w:rsidR="005A4F68" w:rsidRPr="00DD3768">
        <w:rPr>
          <w:rFonts w:asciiTheme="minorHAnsi" w:hAnsiTheme="minorHAnsi" w:cstheme="minorHAnsi"/>
          <w:lang w:val="en-GB"/>
        </w:rPr>
        <w:t>)</w:t>
      </w:r>
      <w:r w:rsidRPr="00DD3768">
        <w:rPr>
          <w:rFonts w:asciiTheme="minorHAnsi" w:hAnsiTheme="minorHAnsi" w:cstheme="minorHAnsi"/>
          <w:lang w:val="en-GB"/>
        </w:rPr>
        <w:t xml:space="preserve">, without objective and reasonable reasons pursuing a legitimate </w:t>
      </w:r>
      <w:r w:rsidR="005A4F68" w:rsidRPr="00DD3768">
        <w:rPr>
          <w:rFonts w:asciiTheme="minorHAnsi" w:hAnsiTheme="minorHAnsi" w:cstheme="minorHAnsi"/>
          <w:lang w:val="en-GB"/>
        </w:rPr>
        <w:t>goal. Doing so,</w:t>
      </w:r>
      <w:r w:rsidRPr="00DD3768">
        <w:rPr>
          <w:rFonts w:asciiTheme="minorHAnsi" w:hAnsiTheme="minorHAnsi" w:cstheme="minorHAnsi"/>
          <w:lang w:val="en-GB"/>
        </w:rPr>
        <w:t xml:space="preserve"> the accused municipality </w:t>
      </w:r>
      <w:r w:rsidR="005A4F68" w:rsidRPr="00DD3768">
        <w:rPr>
          <w:rFonts w:asciiTheme="minorHAnsi" w:hAnsiTheme="minorHAnsi" w:cstheme="minorHAnsi"/>
          <w:lang w:val="en-GB"/>
        </w:rPr>
        <w:t xml:space="preserve">committed </w:t>
      </w:r>
      <w:r w:rsidRPr="00DD3768">
        <w:rPr>
          <w:rFonts w:asciiTheme="minorHAnsi" w:hAnsiTheme="minorHAnsi" w:cstheme="minorHAnsi"/>
          <w:lang w:val="en-GB"/>
        </w:rPr>
        <w:t xml:space="preserve">discriminatory </w:t>
      </w:r>
      <w:r w:rsidR="005A4F68" w:rsidRPr="00DD3768">
        <w:rPr>
          <w:rFonts w:asciiTheme="minorHAnsi" w:hAnsiTheme="minorHAnsi" w:cstheme="minorHAnsi"/>
          <w:lang w:val="en-GB"/>
        </w:rPr>
        <w:t xml:space="preserve">conduct </w:t>
      </w:r>
      <w:r w:rsidRPr="00DD3768">
        <w:rPr>
          <w:rFonts w:asciiTheme="minorHAnsi" w:hAnsiTheme="minorHAnsi" w:cstheme="minorHAnsi"/>
          <w:lang w:val="en-GB"/>
        </w:rPr>
        <w:t>against residents without permanent residence in the territory of the municipality</w:t>
      </w:r>
      <w:r w:rsidR="005A4F68" w:rsidRPr="00DD3768">
        <w:rPr>
          <w:rFonts w:asciiTheme="minorHAnsi" w:hAnsiTheme="minorHAnsi" w:cstheme="minorHAnsi"/>
          <w:lang w:val="en-GB"/>
        </w:rPr>
        <w:t>;</w:t>
      </w:r>
    </w:p>
    <w:p w14:paraId="20D4440A" w14:textId="7DF0FF35" w:rsidR="003C151C" w:rsidRPr="00DD3768" w:rsidRDefault="00C12305" w:rsidP="003C151C">
      <w:pPr>
        <w:pStyle w:val="Odstavecseseznamem"/>
        <w:numPr>
          <w:ilvl w:val="0"/>
          <w:numId w:val="44"/>
        </w:numPr>
        <w:spacing w:before="120" w:after="120"/>
        <w:jc w:val="both"/>
        <w:rPr>
          <w:rFonts w:asciiTheme="minorHAnsi" w:hAnsiTheme="minorHAnsi" w:cstheme="minorHAnsi"/>
          <w:lang w:val="en-GB"/>
        </w:rPr>
      </w:pPr>
      <w:r w:rsidRPr="00DD3768">
        <w:rPr>
          <w:rFonts w:asciiTheme="minorHAnsi" w:hAnsiTheme="minorHAnsi" w:cstheme="minorHAnsi"/>
          <w:lang w:val="en-GB"/>
        </w:rPr>
        <w:t>In one case</w:t>
      </w:r>
      <w:r w:rsidR="003C151C" w:rsidRPr="00DD3768">
        <w:rPr>
          <w:rFonts w:asciiTheme="minorHAnsi" w:hAnsiTheme="minorHAnsi" w:cstheme="minorHAnsi"/>
          <w:lang w:val="en-GB"/>
        </w:rPr>
        <w:t xml:space="preserve">, the inspected person discriminated </w:t>
      </w:r>
      <w:r w:rsidRPr="00DD3768">
        <w:rPr>
          <w:rFonts w:asciiTheme="minorHAnsi" w:hAnsiTheme="minorHAnsi" w:cstheme="minorHAnsi"/>
          <w:lang w:val="en-GB"/>
        </w:rPr>
        <w:t>a</w:t>
      </w:r>
      <w:r w:rsidR="003C151C" w:rsidRPr="00DD3768">
        <w:rPr>
          <w:rFonts w:asciiTheme="minorHAnsi" w:hAnsiTheme="minorHAnsi" w:cstheme="minorHAnsi"/>
          <w:lang w:val="en-GB"/>
        </w:rPr>
        <w:t xml:space="preserve"> consumer by placing persons of Russian nationality (Russian speaking) at a disadvantage compared to Czech speakers</w:t>
      </w:r>
      <w:r w:rsidRPr="00DD3768">
        <w:rPr>
          <w:rFonts w:asciiTheme="minorHAnsi" w:hAnsiTheme="minorHAnsi" w:cstheme="minorHAnsi"/>
          <w:lang w:val="en-GB"/>
        </w:rPr>
        <w:t xml:space="preserve">. Before an order was made, the trader provided Czech-speaking persons (CTIA </w:t>
      </w:r>
      <w:r w:rsidR="003C151C" w:rsidRPr="00DD3768">
        <w:rPr>
          <w:rFonts w:asciiTheme="minorHAnsi" w:hAnsiTheme="minorHAnsi" w:cstheme="minorHAnsi"/>
          <w:lang w:val="en-GB"/>
        </w:rPr>
        <w:t>inspectors, as consumer</w:t>
      </w:r>
      <w:r w:rsidRPr="00DD3768">
        <w:rPr>
          <w:rFonts w:asciiTheme="minorHAnsi" w:hAnsiTheme="minorHAnsi" w:cstheme="minorHAnsi"/>
          <w:lang w:val="en-GB"/>
        </w:rPr>
        <w:t>s</w:t>
      </w:r>
      <w:r w:rsidR="003C151C" w:rsidRPr="00DD3768">
        <w:rPr>
          <w:rFonts w:asciiTheme="minorHAnsi" w:hAnsiTheme="minorHAnsi" w:cstheme="minorHAnsi"/>
          <w:lang w:val="en-GB"/>
        </w:rPr>
        <w:t>) a daily lunch menu, a drinks menu and a multilingual menu, while the Russian-speaking persons (</w:t>
      </w:r>
      <w:r w:rsidR="00587BFE" w:rsidRPr="00DD3768">
        <w:rPr>
          <w:rFonts w:asciiTheme="minorHAnsi" w:hAnsiTheme="minorHAnsi" w:cstheme="minorHAnsi"/>
          <w:lang w:val="en-GB"/>
        </w:rPr>
        <w:t>CTIA</w:t>
      </w:r>
      <w:r w:rsidR="003C151C" w:rsidRPr="00DD3768">
        <w:rPr>
          <w:rFonts w:asciiTheme="minorHAnsi" w:hAnsiTheme="minorHAnsi" w:cstheme="minorHAnsi"/>
          <w:lang w:val="en-GB"/>
        </w:rPr>
        <w:t xml:space="preserve"> inspectors, as consumer</w:t>
      </w:r>
      <w:r w:rsidR="00587BFE" w:rsidRPr="00DD3768">
        <w:rPr>
          <w:rFonts w:asciiTheme="minorHAnsi" w:hAnsiTheme="minorHAnsi" w:cstheme="minorHAnsi"/>
          <w:lang w:val="en-GB"/>
        </w:rPr>
        <w:t>s</w:t>
      </w:r>
      <w:r w:rsidR="003C151C" w:rsidRPr="00DD3768">
        <w:rPr>
          <w:rFonts w:asciiTheme="minorHAnsi" w:hAnsiTheme="minorHAnsi" w:cstheme="minorHAnsi"/>
          <w:lang w:val="en-GB"/>
        </w:rPr>
        <w:t>)</w:t>
      </w:r>
      <w:r w:rsidR="00587BFE" w:rsidRPr="00DD3768">
        <w:rPr>
          <w:rFonts w:asciiTheme="minorHAnsi" w:hAnsiTheme="minorHAnsi" w:cstheme="minorHAnsi"/>
          <w:lang w:val="en-GB"/>
        </w:rPr>
        <w:t xml:space="preserve"> weren’t offered the</w:t>
      </w:r>
      <w:r w:rsidR="003C151C" w:rsidRPr="00DD3768">
        <w:rPr>
          <w:rFonts w:asciiTheme="minorHAnsi" w:hAnsiTheme="minorHAnsi" w:cstheme="minorHAnsi"/>
          <w:lang w:val="en-GB"/>
        </w:rPr>
        <w:t xml:space="preserve"> daily lunch menu, citing the fact that this daily menu is only available in Cze</w:t>
      </w:r>
      <w:r w:rsidR="00587BFE" w:rsidRPr="00DD3768">
        <w:rPr>
          <w:rFonts w:asciiTheme="minorHAnsi" w:hAnsiTheme="minorHAnsi" w:cstheme="minorHAnsi"/>
          <w:lang w:val="en-GB"/>
        </w:rPr>
        <w:t>ch, and did not familiarize these consumers</w:t>
      </w:r>
      <w:r w:rsidR="003C151C" w:rsidRPr="00DD3768">
        <w:rPr>
          <w:rFonts w:asciiTheme="minorHAnsi" w:hAnsiTheme="minorHAnsi" w:cstheme="minorHAnsi"/>
          <w:lang w:val="en-GB"/>
        </w:rPr>
        <w:t xml:space="preserve"> with the daily menu in any other appropriate way, thus </w:t>
      </w:r>
      <w:r w:rsidR="00587BFE" w:rsidRPr="00DD3768">
        <w:rPr>
          <w:rFonts w:asciiTheme="minorHAnsi" w:hAnsiTheme="minorHAnsi" w:cstheme="minorHAnsi"/>
          <w:lang w:val="en-GB"/>
        </w:rPr>
        <w:t xml:space="preserve">not </w:t>
      </w:r>
      <w:r w:rsidR="003C151C" w:rsidRPr="00DD3768">
        <w:rPr>
          <w:rFonts w:asciiTheme="minorHAnsi" w:hAnsiTheme="minorHAnsi" w:cstheme="minorHAnsi"/>
          <w:lang w:val="en-GB"/>
        </w:rPr>
        <w:t>allowing Russian-speaking consumers to use the serv</w:t>
      </w:r>
      <w:r w:rsidR="00587BFE" w:rsidRPr="00DD3768">
        <w:rPr>
          <w:rFonts w:asciiTheme="minorHAnsi" w:hAnsiTheme="minorHAnsi" w:cstheme="minorHAnsi"/>
          <w:lang w:val="en-GB"/>
        </w:rPr>
        <w:t>ices provided on an equal scale to C</w:t>
      </w:r>
      <w:r w:rsidR="003C151C" w:rsidRPr="00DD3768">
        <w:rPr>
          <w:rFonts w:asciiTheme="minorHAnsi" w:hAnsiTheme="minorHAnsi" w:cstheme="minorHAnsi"/>
          <w:lang w:val="en-GB"/>
        </w:rPr>
        <w:t>zech-speaking consumers</w:t>
      </w:r>
      <w:r w:rsidR="00587BFE" w:rsidRPr="00DD3768">
        <w:rPr>
          <w:rFonts w:asciiTheme="minorHAnsi" w:hAnsiTheme="minorHAnsi" w:cstheme="minorHAnsi"/>
          <w:lang w:val="en-GB"/>
        </w:rPr>
        <w:t>;</w:t>
      </w:r>
    </w:p>
    <w:p w14:paraId="15BBE045" w14:textId="1DC79E60" w:rsidR="003C151C" w:rsidRPr="00DD3768" w:rsidRDefault="00587BFE" w:rsidP="003C151C">
      <w:pPr>
        <w:pStyle w:val="Odstavecseseznamem"/>
        <w:numPr>
          <w:ilvl w:val="0"/>
          <w:numId w:val="44"/>
        </w:numPr>
        <w:spacing w:before="120" w:after="120"/>
        <w:jc w:val="both"/>
        <w:rPr>
          <w:rFonts w:asciiTheme="minorHAnsi" w:hAnsiTheme="minorHAnsi" w:cstheme="minorHAnsi"/>
          <w:lang w:val="en-GB"/>
        </w:rPr>
      </w:pPr>
      <w:r w:rsidRPr="00DD3768">
        <w:rPr>
          <w:rFonts w:asciiTheme="minorHAnsi" w:hAnsiTheme="minorHAnsi" w:cstheme="minorHAnsi"/>
          <w:lang w:val="en-GB"/>
        </w:rPr>
        <w:t>In one case, a</w:t>
      </w:r>
      <w:r w:rsidR="003C151C" w:rsidRPr="00DD3768">
        <w:rPr>
          <w:rFonts w:asciiTheme="minorHAnsi" w:hAnsiTheme="minorHAnsi" w:cstheme="minorHAnsi"/>
          <w:lang w:val="en-GB"/>
        </w:rPr>
        <w:t xml:space="preserve"> consumer was refused entry to </w:t>
      </w:r>
      <w:r w:rsidRPr="00DD3768">
        <w:rPr>
          <w:rFonts w:asciiTheme="minorHAnsi" w:hAnsiTheme="minorHAnsi" w:cstheme="minorHAnsi"/>
          <w:lang w:val="en-GB"/>
        </w:rPr>
        <w:t xml:space="preserve">a shop because of having a </w:t>
      </w:r>
      <w:r w:rsidR="003C151C" w:rsidRPr="00DD3768">
        <w:rPr>
          <w:rFonts w:asciiTheme="minorHAnsi" w:hAnsiTheme="minorHAnsi" w:cstheme="minorHAnsi"/>
          <w:lang w:val="en-GB"/>
        </w:rPr>
        <w:t>baby stroller (pictogram, depicting this prohibition, was also placed on the entrance door to the store), without any legitimate reason for the seller to do so</w:t>
      </w:r>
      <w:r w:rsidRPr="00DD3768">
        <w:rPr>
          <w:rFonts w:asciiTheme="minorHAnsi" w:hAnsiTheme="minorHAnsi" w:cstheme="minorHAnsi"/>
          <w:lang w:val="en-GB"/>
        </w:rPr>
        <w:t>.</w:t>
      </w:r>
    </w:p>
    <w:p w14:paraId="11A0FC29" w14:textId="77777777" w:rsidR="00CF3942" w:rsidRPr="00DD3768" w:rsidRDefault="00CF3942" w:rsidP="00F66682">
      <w:pPr>
        <w:pStyle w:val="Odstavecseseznamem"/>
        <w:spacing w:before="120" w:after="120"/>
        <w:ind w:left="714"/>
        <w:jc w:val="both"/>
        <w:rPr>
          <w:rFonts w:asciiTheme="minorHAnsi" w:hAnsiTheme="minorHAnsi" w:cstheme="minorHAnsi"/>
          <w:lang w:val="en-GB"/>
        </w:rPr>
      </w:pPr>
    </w:p>
    <w:p w14:paraId="20B26B09" w14:textId="61350211" w:rsidR="00587BFE" w:rsidRPr="00DD3768" w:rsidRDefault="00587BFE" w:rsidP="00F6668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n-GB"/>
        </w:rPr>
      </w:pPr>
      <w:r w:rsidRPr="00DD3768">
        <w:rPr>
          <w:rFonts w:asciiTheme="minorHAnsi" w:hAnsiTheme="minorHAnsi" w:cstheme="minorHAnsi"/>
          <w:sz w:val="22"/>
          <w:szCs w:val="22"/>
          <w:u w:val="single"/>
          <w:lang w:val="en-GB"/>
        </w:rPr>
        <w:t xml:space="preserve">The following breaches of other provisions of the Act No. 634/1992 Coll. on Consumer Protection </w:t>
      </w:r>
      <w:proofErr w:type="gramStart"/>
      <w:r w:rsidRPr="00DD3768">
        <w:rPr>
          <w:rFonts w:asciiTheme="minorHAnsi" w:hAnsiTheme="minorHAnsi" w:cstheme="minorHAnsi"/>
          <w:sz w:val="22"/>
          <w:szCs w:val="22"/>
          <w:u w:val="single"/>
          <w:lang w:val="en-GB"/>
        </w:rPr>
        <w:t>were detected</w:t>
      </w:r>
      <w:proofErr w:type="gramEnd"/>
      <w:r w:rsidRPr="00DD3768">
        <w:rPr>
          <w:rFonts w:asciiTheme="minorHAnsi" w:hAnsiTheme="minorHAnsi" w:cstheme="minorHAnsi"/>
          <w:sz w:val="22"/>
          <w:szCs w:val="22"/>
          <w:u w:val="single"/>
          <w:lang w:val="en-GB"/>
        </w:rPr>
        <w:t>:</w:t>
      </w:r>
    </w:p>
    <w:p w14:paraId="0287C5C0" w14:textId="29EE1394" w:rsidR="00587BFE" w:rsidRPr="00DD3768" w:rsidRDefault="00587BFE" w:rsidP="00587BFE">
      <w:pPr>
        <w:pStyle w:val="Odstavecseseznamem"/>
        <w:numPr>
          <w:ilvl w:val="0"/>
          <w:numId w:val="45"/>
        </w:numPr>
        <w:spacing w:before="120" w:after="120"/>
        <w:jc w:val="both"/>
        <w:rPr>
          <w:rFonts w:asciiTheme="minorHAnsi" w:hAnsiTheme="minorHAnsi" w:cstheme="minorHAnsi"/>
          <w:lang w:val="en-GB"/>
        </w:rPr>
      </w:pPr>
      <w:r w:rsidRPr="00DD3768">
        <w:rPr>
          <w:rFonts w:asciiTheme="minorHAnsi" w:hAnsiTheme="minorHAnsi" w:cstheme="minorHAnsi"/>
          <w:lang w:val="en-GB"/>
        </w:rPr>
        <w:t xml:space="preserve">in 81 cases, traders </w:t>
      </w:r>
      <w:r w:rsidRPr="00DD3768">
        <w:rPr>
          <w:rFonts w:asciiTheme="minorHAnsi" w:hAnsiTheme="minorHAnsi" w:cstheme="minorHAnsi"/>
          <w:lang w:val="en-GB"/>
        </w:rPr>
        <w:t>didn‘t</w:t>
      </w:r>
      <w:r w:rsidRPr="00DD3768">
        <w:rPr>
          <w:rFonts w:asciiTheme="minorHAnsi" w:hAnsiTheme="minorHAnsi" w:cstheme="minorHAnsi"/>
          <w:lang w:val="en-GB"/>
        </w:rPr>
        <w:t xml:space="preserve"> inform</w:t>
      </w:r>
      <w:r w:rsidRPr="00DD3768">
        <w:rPr>
          <w:rFonts w:asciiTheme="minorHAnsi" w:hAnsiTheme="minorHAnsi" w:cstheme="minorHAnsi"/>
          <w:lang w:val="en-GB"/>
        </w:rPr>
        <w:t xml:space="preserve"> consumers about</w:t>
      </w:r>
      <w:r w:rsidRPr="00DD3768">
        <w:rPr>
          <w:rFonts w:asciiTheme="minorHAnsi" w:hAnsiTheme="minorHAnsi" w:cstheme="minorHAnsi"/>
          <w:lang w:val="en-GB"/>
        </w:rPr>
        <w:t xml:space="preserve"> the prices of the products or services </w:t>
      </w:r>
      <w:r w:rsidRPr="00DD3768">
        <w:rPr>
          <w:rFonts w:asciiTheme="minorHAnsi" w:hAnsiTheme="minorHAnsi" w:cstheme="minorHAnsi"/>
          <w:lang w:val="en-GB"/>
        </w:rPr>
        <w:t>offered in accordance with pricing</w:t>
      </w:r>
      <w:r w:rsidRPr="00DD3768">
        <w:rPr>
          <w:rFonts w:asciiTheme="minorHAnsi" w:hAnsiTheme="minorHAnsi" w:cstheme="minorHAnsi"/>
          <w:lang w:val="en-GB"/>
        </w:rPr>
        <w:t xml:space="preserve"> regulations (§ 12)</w:t>
      </w:r>
      <w:r w:rsidRPr="00DD3768">
        <w:rPr>
          <w:rFonts w:asciiTheme="minorHAnsi" w:hAnsiTheme="minorHAnsi" w:cstheme="minorHAnsi"/>
          <w:lang w:val="en-GB"/>
        </w:rPr>
        <w:t>;</w:t>
      </w:r>
    </w:p>
    <w:p w14:paraId="2DBA17A4" w14:textId="7BB6228B" w:rsidR="00587BFE" w:rsidRPr="00DD3768" w:rsidRDefault="00587BFE" w:rsidP="00587BFE">
      <w:pPr>
        <w:pStyle w:val="Odstavecseseznamem"/>
        <w:numPr>
          <w:ilvl w:val="0"/>
          <w:numId w:val="45"/>
        </w:numPr>
        <w:spacing w:before="120" w:after="120"/>
        <w:jc w:val="both"/>
        <w:rPr>
          <w:rFonts w:asciiTheme="minorHAnsi" w:hAnsiTheme="minorHAnsi" w:cstheme="minorHAnsi"/>
          <w:lang w:val="en-GB"/>
        </w:rPr>
      </w:pPr>
      <w:r w:rsidRPr="00DD3768">
        <w:rPr>
          <w:rFonts w:asciiTheme="minorHAnsi" w:hAnsiTheme="minorHAnsi" w:cstheme="minorHAnsi"/>
          <w:lang w:val="en-GB"/>
        </w:rPr>
        <w:t>in 67 cases, the principles of fairness of sale</w:t>
      </w:r>
      <w:r w:rsidRPr="00DD3768">
        <w:rPr>
          <w:rFonts w:asciiTheme="minorHAnsi" w:hAnsiTheme="minorHAnsi" w:cstheme="minorHAnsi"/>
          <w:lang w:val="en-GB"/>
        </w:rPr>
        <w:t xml:space="preserve"> were</w:t>
      </w:r>
      <w:r w:rsidRPr="00DD3768">
        <w:rPr>
          <w:rFonts w:asciiTheme="minorHAnsi" w:hAnsiTheme="minorHAnsi" w:cstheme="minorHAnsi"/>
          <w:lang w:val="en-GB"/>
        </w:rPr>
        <w:t xml:space="preserve"> not </w:t>
      </w:r>
      <w:r w:rsidRPr="00DD3768">
        <w:rPr>
          <w:rFonts w:asciiTheme="minorHAnsi" w:hAnsiTheme="minorHAnsi" w:cstheme="minorHAnsi"/>
          <w:lang w:val="en-GB"/>
        </w:rPr>
        <w:t>fulfilled</w:t>
      </w:r>
      <w:r w:rsidRPr="00DD3768">
        <w:rPr>
          <w:rFonts w:asciiTheme="minorHAnsi" w:hAnsiTheme="minorHAnsi" w:cstheme="minorHAnsi"/>
          <w:lang w:val="en-GB"/>
        </w:rPr>
        <w:t xml:space="preserve"> (§ 3)</w:t>
      </w:r>
      <w:r w:rsidRPr="00DD3768">
        <w:rPr>
          <w:rFonts w:asciiTheme="minorHAnsi" w:hAnsiTheme="minorHAnsi" w:cstheme="minorHAnsi"/>
          <w:lang w:val="en-GB"/>
        </w:rPr>
        <w:t>;</w:t>
      </w:r>
    </w:p>
    <w:p w14:paraId="5729AD98" w14:textId="496E6D31" w:rsidR="00587BFE" w:rsidRPr="00DD3768" w:rsidRDefault="00587BFE" w:rsidP="00587BFE">
      <w:pPr>
        <w:pStyle w:val="Odstavecseseznamem"/>
        <w:numPr>
          <w:ilvl w:val="0"/>
          <w:numId w:val="45"/>
        </w:numPr>
        <w:spacing w:before="120" w:after="120"/>
        <w:jc w:val="both"/>
        <w:rPr>
          <w:rFonts w:asciiTheme="minorHAnsi" w:hAnsiTheme="minorHAnsi" w:cstheme="minorHAnsi"/>
          <w:lang w:val="en-GB"/>
        </w:rPr>
      </w:pPr>
      <w:r w:rsidRPr="00DD3768">
        <w:rPr>
          <w:rFonts w:asciiTheme="minorHAnsi" w:hAnsiTheme="minorHAnsi" w:cstheme="minorHAnsi"/>
          <w:lang w:val="en-GB"/>
        </w:rPr>
        <w:t xml:space="preserve">in 50 cases, proof of purchase of </w:t>
      </w:r>
      <w:r w:rsidRPr="00DD3768">
        <w:rPr>
          <w:rFonts w:asciiTheme="minorHAnsi" w:hAnsiTheme="minorHAnsi" w:cstheme="minorHAnsi"/>
          <w:lang w:val="en-GB"/>
        </w:rPr>
        <w:t>*</w:t>
      </w:r>
      <w:r w:rsidRPr="00DD3768">
        <w:rPr>
          <w:rFonts w:asciiTheme="minorHAnsi" w:hAnsiTheme="minorHAnsi" w:cstheme="minorHAnsi"/>
          <w:lang w:val="en-GB"/>
        </w:rPr>
        <w:t xml:space="preserve">products </w:t>
      </w:r>
      <w:r w:rsidRPr="00DD3768">
        <w:rPr>
          <w:rFonts w:asciiTheme="minorHAnsi" w:hAnsiTheme="minorHAnsi" w:cstheme="minorHAnsi"/>
          <w:lang w:val="en-GB"/>
        </w:rPr>
        <w:t>wasn‘t</w:t>
      </w:r>
      <w:r w:rsidRPr="00DD3768">
        <w:rPr>
          <w:rFonts w:asciiTheme="minorHAnsi" w:hAnsiTheme="minorHAnsi" w:cstheme="minorHAnsi"/>
          <w:lang w:val="en-GB"/>
        </w:rPr>
        <w:t xml:space="preserve"> issued, even though the consumer requested it or </w:t>
      </w:r>
      <w:r w:rsidRPr="00DD3768">
        <w:rPr>
          <w:rFonts w:asciiTheme="minorHAnsi" w:hAnsiTheme="minorHAnsi" w:cstheme="minorHAnsi"/>
          <w:lang w:val="en-GB"/>
        </w:rPr>
        <w:t>the document was</w:t>
      </w:r>
      <w:r w:rsidRPr="00DD3768">
        <w:rPr>
          <w:rFonts w:asciiTheme="minorHAnsi" w:hAnsiTheme="minorHAnsi" w:cstheme="minorHAnsi"/>
          <w:lang w:val="en-GB"/>
        </w:rPr>
        <w:t xml:space="preserve"> without the </w:t>
      </w:r>
      <w:r w:rsidRPr="00DD3768">
        <w:rPr>
          <w:rFonts w:asciiTheme="minorHAnsi" w:hAnsiTheme="minorHAnsi" w:cstheme="minorHAnsi"/>
          <w:lang w:val="en-GB"/>
        </w:rPr>
        <w:t>required data</w:t>
      </w:r>
      <w:r w:rsidRPr="00DD3768">
        <w:rPr>
          <w:rFonts w:asciiTheme="minorHAnsi" w:hAnsiTheme="minorHAnsi" w:cstheme="minorHAnsi"/>
          <w:lang w:val="en-GB"/>
        </w:rPr>
        <w:t xml:space="preserve"> (§ 16)</w:t>
      </w:r>
      <w:r w:rsidRPr="00DD3768">
        <w:rPr>
          <w:rFonts w:asciiTheme="minorHAnsi" w:hAnsiTheme="minorHAnsi" w:cstheme="minorHAnsi"/>
          <w:lang w:val="en-GB"/>
        </w:rPr>
        <w:t>;</w:t>
      </w:r>
    </w:p>
    <w:p w14:paraId="74F587D7" w14:textId="6FB31033" w:rsidR="00587BFE" w:rsidRPr="00DD3768" w:rsidRDefault="00587BFE" w:rsidP="00587BFE">
      <w:pPr>
        <w:pStyle w:val="Odstavecseseznamem"/>
        <w:numPr>
          <w:ilvl w:val="0"/>
          <w:numId w:val="45"/>
        </w:numPr>
        <w:spacing w:before="120" w:after="120"/>
        <w:jc w:val="both"/>
        <w:rPr>
          <w:rFonts w:asciiTheme="minorHAnsi" w:hAnsiTheme="minorHAnsi" w:cstheme="minorHAnsi"/>
          <w:lang w:val="en-GB"/>
        </w:rPr>
      </w:pPr>
      <w:r w:rsidRPr="00DD3768">
        <w:rPr>
          <w:rFonts w:asciiTheme="minorHAnsi" w:hAnsiTheme="minorHAnsi" w:cstheme="minorHAnsi"/>
          <w:lang w:val="en-GB"/>
        </w:rPr>
        <w:t xml:space="preserve">in 27 cases, sellers </w:t>
      </w:r>
      <w:r w:rsidRPr="00DD3768">
        <w:rPr>
          <w:rFonts w:asciiTheme="minorHAnsi" w:hAnsiTheme="minorHAnsi" w:cstheme="minorHAnsi"/>
          <w:lang w:val="en-GB"/>
        </w:rPr>
        <w:t>failed to properly inform</w:t>
      </w:r>
      <w:r w:rsidRPr="00DD3768">
        <w:rPr>
          <w:rFonts w:asciiTheme="minorHAnsi" w:hAnsiTheme="minorHAnsi" w:cstheme="minorHAnsi"/>
          <w:lang w:val="en-GB"/>
        </w:rPr>
        <w:t xml:space="preserve"> consumers about the characteristics of the products sold or the natur</w:t>
      </w:r>
      <w:r w:rsidRPr="00DD3768">
        <w:rPr>
          <w:rFonts w:asciiTheme="minorHAnsi" w:hAnsiTheme="minorHAnsi" w:cstheme="minorHAnsi"/>
          <w:lang w:val="en-GB"/>
        </w:rPr>
        <w:t xml:space="preserve">e of the services provided (§ 9 par. </w:t>
      </w:r>
      <w:r w:rsidRPr="00DD3768">
        <w:rPr>
          <w:rFonts w:asciiTheme="minorHAnsi" w:hAnsiTheme="minorHAnsi" w:cstheme="minorHAnsi"/>
          <w:lang w:val="en-GB"/>
        </w:rPr>
        <w:t>1)</w:t>
      </w:r>
      <w:r w:rsidRPr="00DD3768">
        <w:rPr>
          <w:rFonts w:asciiTheme="minorHAnsi" w:hAnsiTheme="minorHAnsi" w:cstheme="minorHAnsi"/>
          <w:lang w:val="en-GB"/>
        </w:rPr>
        <w:t>;</w:t>
      </w:r>
    </w:p>
    <w:p w14:paraId="0A694B54" w14:textId="54F2A383" w:rsidR="00587BFE" w:rsidRPr="00DD3768" w:rsidRDefault="00587BFE" w:rsidP="00587BFE">
      <w:pPr>
        <w:pStyle w:val="Odstavecseseznamem"/>
        <w:numPr>
          <w:ilvl w:val="0"/>
          <w:numId w:val="45"/>
        </w:numPr>
        <w:spacing w:before="120" w:after="120"/>
        <w:jc w:val="both"/>
        <w:rPr>
          <w:rFonts w:asciiTheme="minorHAnsi" w:hAnsiTheme="minorHAnsi" w:cstheme="minorHAnsi"/>
          <w:lang w:val="en-GB"/>
        </w:rPr>
      </w:pPr>
      <w:proofErr w:type="gramStart"/>
      <w:r w:rsidRPr="00DD3768">
        <w:rPr>
          <w:rFonts w:asciiTheme="minorHAnsi" w:hAnsiTheme="minorHAnsi" w:cstheme="minorHAnsi"/>
          <w:lang w:val="en-GB"/>
        </w:rPr>
        <w:t>in</w:t>
      </w:r>
      <w:proofErr w:type="gramEnd"/>
      <w:r w:rsidRPr="00DD3768">
        <w:rPr>
          <w:rFonts w:asciiTheme="minorHAnsi" w:hAnsiTheme="minorHAnsi" w:cstheme="minorHAnsi"/>
          <w:lang w:val="en-GB"/>
        </w:rPr>
        <w:t xml:space="preserve"> 23 cases, sellers </w:t>
      </w:r>
      <w:r w:rsidRPr="00DD3768">
        <w:rPr>
          <w:rFonts w:asciiTheme="minorHAnsi" w:hAnsiTheme="minorHAnsi" w:cstheme="minorHAnsi"/>
          <w:lang w:val="en-GB"/>
        </w:rPr>
        <w:t>didn‘t inform</w:t>
      </w:r>
      <w:r w:rsidRPr="00DD3768">
        <w:rPr>
          <w:rFonts w:asciiTheme="minorHAnsi" w:hAnsiTheme="minorHAnsi" w:cstheme="minorHAnsi"/>
          <w:lang w:val="en-GB"/>
        </w:rPr>
        <w:t xml:space="preserve"> consumers in a clear, comprehensible and easily accessible </w:t>
      </w:r>
      <w:r w:rsidRPr="00DD3768">
        <w:rPr>
          <w:rFonts w:asciiTheme="minorHAnsi" w:hAnsiTheme="minorHAnsi" w:cstheme="minorHAnsi"/>
          <w:lang w:val="en-GB"/>
        </w:rPr>
        <w:t>way about the entity of</w:t>
      </w:r>
      <w:r w:rsidRPr="00DD3768">
        <w:rPr>
          <w:rFonts w:asciiTheme="minorHAnsi" w:hAnsiTheme="minorHAnsi" w:cstheme="minorHAnsi"/>
          <w:lang w:val="en-GB"/>
        </w:rPr>
        <w:t xml:space="preserve"> out-of-court settlement of consumer disputes </w:t>
      </w:r>
      <w:r w:rsidRPr="00DD3768">
        <w:rPr>
          <w:rFonts w:asciiTheme="minorHAnsi" w:hAnsiTheme="minorHAnsi" w:cstheme="minorHAnsi"/>
          <w:lang w:val="en-GB"/>
        </w:rPr>
        <w:t>(Section 14 par</w:t>
      </w:r>
      <w:r w:rsidRPr="00DD3768">
        <w:rPr>
          <w:rFonts w:asciiTheme="minorHAnsi" w:hAnsiTheme="minorHAnsi" w:cstheme="minorHAnsi"/>
          <w:lang w:val="en-GB"/>
        </w:rPr>
        <w:t>. 1.)</w:t>
      </w:r>
      <w:r w:rsidRPr="00DD3768">
        <w:rPr>
          <w:rFonts w:asciiTheme="minorHAnsi" w:hAnsiTheme="minorHAnsi" w:cstheme="minorHAnsi"/>
          <w:lang w:val="en-GB"/>
        </w:rPr>
        <w:t>.</w:t>
      </w:r>
    </w:p>
    <w:p w14:paraId="72DBBFE5" w14:textId="51E26993" w:rsidR="00587BFE" w:rsidRPr="00DD3768" w:rsidRDefault="00587BFE" w:rsidP="00587BFE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Violations of other provisions of the Consumer Protection Act and other legislation </w:t>
      </w:r>
      <w:proofErr w:type="gramStart"/>
      <w:r w:rsidRPr="00DD3768">
        <w:rPr>
          <w:rFonts w:asciiTheme="minorHAnsi" w:hAnsiTheme="minorHAnsi" w:cstheme="minorHAnsi"/>
          <w:sz w:val="22"/>
          <w:szCs w:val="22"/>
          <w:lang w:val="en-GB"/>
        </w:rPr>
        <w:t>were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 identified</w:t>
      </w:r>
      <w:proofErr w:type="gramEnd"/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 to a lesser extent.</w:t>
      </w:r>
    </w:p>
    <w:p w14:paraId="3B7D86B1" w14:textId="77777777" w:rsidR="00587BFE" w:rsidRPr="00DD3768" w:rsidRDefault="00587BFE" w:rsidP="00F66682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57409191" w14:textId="6D4A0077" w:rsidR="00CF3942" w:rsidRPr="00DD3768" w:rsidRDefault="00587BFE" w:rsidP="00F66682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DD3768">
        <w:rPr>
          <w:rFonts w:asciiTheme="minorHAnsi" w:hAnsiTheme="minorHAnsi" w:cstheme="minorHAnsi"/>
          <w:b/>
          <w:sz w:val="22"/>
          <w:szCs w:val="22"/>
          <w:lang w:val="en-GB"/>
        </w:rPr>
        <w:lastRenderedPageBreak/>
        <w:t>Imposed measures</w:t>
      </w:r>
    </w:p>
    <w:p w14:paraId="45C99AE6" w14:textId="401E9D9A" w:rsidR="00587BFE" w:rsidRPr="00DD3768" w:rsidRDefault="00587BFE" w:rsidP="00587BFE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D3768">
        <w:rPr>
          <w:rFonts w:asciiTheme="minorHAnsi" w:hAnsiTheme="minorHAnsi" w:cstheme="minorHAnsi"/>
          <w:sz w:val="22"/>
          <w:szCs w:val="22"/>
          <w:lang w:val="en-GB"/>
        </w:rPr>
        <w:t>In connection with discriminatory conduct, the Czech Trade Inspection Authority finally imposed 15 fines in the total amount of CZK 702,000 in 2020. Of these, 13 relate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>d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 to 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>inspections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 carried out in 2019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>,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 already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and </w:t>
      </w:r>
      <w:proofErr w:type="gramStart"/>
      <w:r w:rsidRPr="00DD3768">
        <w:rPr>
          <w:rFonts w:asciiTheme="minorHAnsi" w:hAnsiTheme="minorHAnsi" w:cstheme="minorHAnsi"/>
          <w:sz w:val="22"/>
          <w:szCs w:val="22"/>
          <w:lang w:val="en-GB"/>
        </w:rPr>
        <w:t>2</w:t>
      </w:r>
      <w:proofErr w:type="gramEnd"/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 to 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>inspections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 carried out in 2020. </w:t>
      </w:r>
    </w:p>
    <w:p w14:paraId="49DE9BAB" w14:textId="405495A5" w:rsidR="00587BFE" w:rsidRPr="00DD3768" w:rsidRDefault="00587BFE" w:rsidP="00587BFE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gramStart"/>
      <w:r w:rsidRPr="00DD3768">
        <w:rPr>
          <w:rFonts w:asciiTheme="minorHAnsi" w:hAnsiTheme="minorHAnsi" w:cstheme="minorHAnsi"/>
          <w:sz w:val="22"/>
          <w:szCs w:val="22"/>
          <w:lang w:val="en-GB"/>
        </w:rPr>
        <w:t>A total of 198</w:t>
      </w:r>
      <w:proofErr w:type="gramEnd"/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 fines in the amount of CZK 1,330,000 were imposed in total (including fines for discriminatory conduct) 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>based on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 the infringements detected. </w:t>
      </w:r>
      <w:proofErr w:type="gramStart"/>
      <w:r w:rsidRPr="00DD3768">
        <w:rPr>
          <w:rFonts w:asciiTheme="minorHAnsi" w:hAnsiTheme="minorHAnsi" w:cstheme="minorHAnsi"/>
          <w:sz w:val="22"/>
          <w:szCs w:val="22"/>
          <w:lang w:val="en-GB"/>
        </w:rPr>
        <w:t>Furthermore, for breach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>es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 of the obli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>gations laid down by law, the CTIA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 imposed a ban on the sale of 637 pieces of products with a total value of CZK 68,650.40 and a ban on </w:t>
      </w:r>
      <w:r w:rsidR="00DD3768" w:rsidRPr="00DD3768">
        <w:rPr>
          <w:rFonts w:asciiTheme="minorHAnsi" w:hAnsiTheme="minorHAnsi" w:cstheme="minorHAnsi"/>
          <w:sz w:val="22"/>
          <w:szCs w:val="22"/>
          <w:lang w:val="en-GB"/>
        </w:rPr>
        <w:t>the use of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 31 </w:t>
      </w:r>
      <w:r w:rsidR="006F1FF4" w:rsidRPr="00DD3768">
        <w:rPr>
          <w:rFonts w:asciiTheme="minorHAnsi" w:hAnsiTheme="minorHAnsi" w:cstheme="minorHAnsi"/>
          <w:sz w:val="22"/>
          <w:szCs w:val="22"/>
          <w:lang w:val="en-GB"/>
        </w:rPr>
        <w:t>items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 of un</w:t>
      </w:r>
      <w:r w:rsidR="006F1FF4" w:rsidRPr="00DD3768">
        <w:rPr>
          <w:rFonts w:asciiTheme="minorHAnsi" w:hAnsiTheme="minorHAnsi" w:cstheme="minorHAnsi"/>
          <w:sz w:val="22"/>
          <w:szCs w:val="22"/>
          <w:lang w:val="en-GB"/>
        </w:rPr>
        <w:t>certified measuring instruments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 that did not comply with generally binding legal regulations, technical standards, other technical regulations</w:t>
      </w:r>
      <w:r w:rsidR="00DD3768" w:rsidRPr="00DD3768">
        <w:rPr>
          <w:rFonts w:asciiTheme="minorHAnsi" w:hAnsiTheme="minorHAnsi" w:cstheme="minorHAnsi"/>
          <w:sz w:val="22"/>
          <w:szCs w:val="22"/>
          <w:lang w:val="en-GB"/>
        </w:rPr>
        <w:t>,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 or </w:t>
      </w:r>
      <w:r w:rsidR="00DD3768" w:rsidRPr="00DD3768">
        <w:rPr>
          <w:rFonts w:asciiTheme="minorHAnsi" w:hAnsiTheme="minorHAnsi" w:cstheme="minorHAnsi"/>
          <w:sz w:val="22"/>
          <w:szCs w:val="22"/>
          <w:lang w:val="en-GB"/>
        </w:rPr>
        <w:t>the</w:t>
      </w:r>
      <w:r w:rsidRPr="00DD3768">
        <w:rPr>
          <w:rFonts w:asciiTheme="minorHAnsi" w:hAnsiTheme="minorHAnsi" w:cstheme="minorHAnsi"/>
          <w:sz w:val="22"/>
          <w:szCs w:val="22"/>
          <w:lang w:val="en-GB"/>
        </w:rPr>
        <w:t xml:space="preserve"> approved type.</w:t>
      </w:r>
      <w:proofErr w:type="gramEnd"/>
    </w:p>
    <w:sectPr w:rsidR="00587BFE" w:rsidRPr="00DD3768" w:rsidSect="00362969">
      <w:footerReference w:type="default" r:id="rId9"/>
      <w:pgSz w:w="12240" w:h="15800"/>
      <w:pgMar w:top="1417" w:right="1417" w:bottom="1417" w:left="1417" w:header="113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DDD0" w14:textId="77777777" w:rsidR="00F45F5C" w:rsidRDefault="00F45F5C" w:rsidP="00185D99">
      <w:r>
        <w:separator/>
      </w:r>
    </w:p>
  </w:endnote>
  <w:endnote w:type="continuationSeparator" w:id="0">
    <w:p w14:paraId="72B0B746" w14:textId="77777777" w:rsidR="00F45F5C" w:rsidRDefault="00F45F5C" w:rsidP="0018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9B0BF" w14:textId="31B65DC8" w:rsidR="00A16A5B" w:rsidRPr="00DD3768" w:rsidRDefault="00DD3768" w:rsidP="00DD3768">
    <w:pPr>
      <w:pStyle w:val="Zpat"/>
      <w:rPr>
        <w:lang w:val="en-GB"/>
      </w:rPr>
    </w:pPr>
    <w:r w:rsidRPr="006E4950">
      <w:rPr>
        <w:b/>
        <w:i/>
        <w:color w:val="808080"/>
        <w:sz w:val="18"/>
        <w:szCs w:val="18"/>
        <w:lang w:val="en-GB"/>
      </w:rPr>
      <w:t>Contact:</w:t>
    </w:r>
    <w:r>
      <w:rPr>
        <w:b/>
        <w:i/>
        <w:color w:val="808080"/>
        <w:sz w:val="18"/>
        <w:szCs w:val="18"/>
        <w:lang w:val="en-GB"/>
      </w:rPr>
      <w:t xml:space="preserve">       </w:t>
    </w:r>
    <w:r w:rsidRPr="00E87AFF">
      <w:rPr>
        <w:color w:val="808080"/>
        <w:sz w:val="18"/>
        <w:szCs w:val="18"/>
        <w:lang w:val="en-GB"/>
      </w:rPr>
      <w:t>Spokesperson of the CTIA</w:t>
    </w:r>
    <w:r w:rsidRPr="006E4950">
      <w:rPr>
        <w:color w:val="808080"/>
        <w:sz w:val="18"/>
        <w:szCs w:val="18"/>
        <w:lang w:val="en-GB"/>
      </w:rPr>
      <w:tab/>
      <w:t xml:space="preserve">                                                            </w:t>
    </w:r>
    <w:r w:rsidRPr="006E4950">
      <w:rPr>
        <w:b/>
        <w:i/>
        <w:color w:val="808080"/>
        <w:sz w:val="18"/>
        <w:szCs w:val="18"/>
        <w:lang w:val="en-GB"/>
      </w:rPr>
      <w:t>Phone:</w:t>
    </w:r>
    <w:r w:rsidRPr="006E4950">
      <w:rPr>
        <w:i/>
        <w:color w:val="808080"/>
        <w:sz w:val="18"/>
        <w:szCs w:val="18"/>
        <w:lang w:val="en-GB"/>
      </w:rPr>
      <w:tab/>
      <w:t xml:space="preserve">+420 296 366 233  </w:t>
    </w:r>
    <w:r w:rsidRPr="006E4950">
      <w:rPr>
        <w:color w:val="808080"/>
        <w:sz w:val="18"/>
        <w:szCs w:val="18"/>
        <w:lang w:val="en-GB"/>
      </w:rPr>
      <w:br/>
    </w:r>
    <w:r>
      <w:rPr>
        <w:color w:val="808080"/>
        <w:sz w:val="18"/>
        <w:szCs w:val="18"/>
        <w:lang w:val="en-GB"/>
      </w:rPr>
      <w:t xml:space="preserve">                       </w:t>
    </w:r>
    <w:r w:rsidRPr="006E4950">
      <w:rPr>
        <w:color w:val="808080"/>
        <w:sz w:val="18"/>
        <w:szCs w:val="18"/>
        <w:lang w:val="en-GB"/>
      </w:rPr>
      <w:t>Mgr. Jiří Fröhlich</w:t>
    </w:r>
    <w:r w:rsidRPr="006E4950">
      <w:rPr>
        <w:i/>
        <w:color w:val="808080"/>
        <w:sz w:val="18"/>
        <w:szCs w:val="18"/>
        <w:lang w:val="en-GB"/>
      </w:rPr>
      <w:tab/>
      <w:t xml:space="preserve">                                                            </w:t>
    </w:r>
    <w:r w:rsidRPr="006E4950">
      <w:rPr>
        <w:b/>
        <w:i/>
        <w:color w:val="808080"/>
        <w:sz w:val="18"/>
        <w:szCs w:val="18"/>
        <w:lang w:val="en-GB"/>
      </w:rPr>
      <w:t>Mobile:</w:t>
    </w:r>
    <w:r w:rsidRPr="006E4950">
      <w:rPr>
        <w:i/>
        <w:color w:val="808080"/>
        <w:sz w:val="18"/>
        <w:szCs w:val="18"/>
        <w:lang w:val="en-GB"/>
      </w:rPr>
      <w:t xml:space="preserve"> </w:t>
    </w:r>
    <w:r w:rsidRPr="006E4950">
      <w:rPr>
        <w:i/>
        <w:color w:val="808080"/>
        <w:sz w:val="18"/>
        <w:szCs w:val="18"/>
        <w:lang w:val="en-GB"/>
      </w:rPr>
      <w:tab/>
      <w:t>+420 602 105 376</w:t>
    </w:r>
    <w:r w:rsidRPr="006E4950">
      <w:rPr>
        <w:i/>
        <w:color w:val="808080"/>
        <w:sz w:val="18"/>
        <w:szCs w:val="18"/>
        <w:lang w:val="en-GB"/>
      </w:rPr>
      <w:br/>
    </w:r>
    <w:r w:rsidRPr="006E4950">
      <w:rPr>
        <w:i/>
        <w:color w:val="808080"/>
        <w:sz w:val="18"/>
        <w:szCs w:val="18"/>
        <w:lang w:val="en-GB"/>
      </w:rPr>
      <w:tab/>
      <w:t xml:space="preserve">                                                            </w:t>
    </w:r>
    <w:r w:rsidRPr="006E4950">
      <w:rPr>
        <w:b/>
        <w:i/>
        <w:color w:val="808080"/>
        <w:sz w:val="18"/>
        <w:szCs w:val="18"/>
        <w:lang w:val="en-GB"/>
      </w:rPr>
      <w:t>E-mail:</w:t>
    </w:r>
    <w:r w:rsidRPr="006E4950">
      <w:rPr>
        <w:i/>
        <w:color w:val="808080"/>
        <w:sz w:val="18"/>
        <w:szCs w:val="18"/>
        <w:lang w:val="en-GB"/>
      </w:rPr>
      <w:tab/>
      <w:t>mluvci@coi.cz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44EF0" w14:textId="77777777" w:rsidR="00F45F5C" w:rsidRDefault="00F45F5C" w:rsidP="00185D99">
      <w:r>
        <w:separator/>
      </w:r>
    </w:p>
  </w:footnote>
  <w:footnote w:type="continuationSeparator" w:id="0">
    <w:p w14:paraId="46EF17A5" w14:textId="77777777" w:rsidR="00F45F5C" w:rsidRDefault="00F45F5C" w:rsidP="00185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5A4E"/>
    <w:multiLevelType w:val="hybridMultilevel"/>
    <w:tmpl w:val="56546E02"/>
    <w:lvl w:ilvl="0" w:tplc="47063C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30630"/>
    <w:multiLevelType w:val="multilevel"/>
    <w:tmpl w:val="9E56D7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C4E4C"/>
    <w:multiLevelType w:val="hybridMultilevel"/>
    <w:tmpl w:val="034A8C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A69C9"/>
    <w:multiLevelType w:val="hybridMultilevel"/>
    <w:tmpl w:val="8C6C6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401B7"/>
    <w:multiLevelType w:val="hybridMultilevel"/>
    <w:tmpl w:val="E21E1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E6540"/>
    <w:multiLevelType w:val="hybridMultilevel"/>
    <w:tmpl w:val="48901C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E3739"/>
    <w:multiLevelType w:val="hybridMultilevel"/>
    <w:tmpl w:val="638C7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D3E89"/>
    <w:multiLevelType w:val="hybridMultilevel"/>
    <w:tmpl w:val="A80E8D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A6CA0"/>
    <w:multiLevelType w:val="hybridMultilevel"/>
    <w:tmpl w:val="2B166E5C"/>
    <w:lvl w:ilvl="0" w:tplc="BFDCDC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2931A01"/>
    <w:multiLevelType w:val="hybridMultilevel"/>
    <w:tmpl w:val="B4BE8C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304DAB"/>
    <w:multiLevelType w:val="hybridMultilevel"/>
    <w:tmpl w:val="ACAA95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2349F"/>
    <w:multiLevelType w:val="hybridMultilevel"/>
    <w:tmpl w:val="4A04F4F8"/>
    <w:lvl w:ilvl="0" w:tplc="786644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E56DF"/>
    <w:multiLevelType w:val="hybridMultilevel"/>
    <w:tmpl w:val="CB10E2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01105"/>
    <w:multiLevelType w:val="hybridMultilevel"/>
    <w:tmpl w:val="5296B4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E5CF9"/>
    <w:multiLevelType w:val="hybridMultilevel"/>
    <w:tmpl w:val="456804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8649E"/>
    <w:multiLevelType w:val="hybridMultilevel"/>
    <w:tmpl w:val="9E56D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E77F1"/>
    <w:multiLevelType w:val="hybridMultilevel"/>
    <w:tmpl w:val="59AED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03B91"/>
    <w:multiLevelType w:val="hybridMultilevel"/>
    <w:tmpl w:val="F6AE0D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10092"/>
    <w:multiLevelType w:val="hybridMultilevel"/>
    <w:tmpl w:val="AD644B26"/>
    <w:lvl w:ilvl="0" w:tplc="E45EA7D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2459C"/>
    <w:multiLevelType w:val="hybridMultilevel"/>
    <w:tmpl w:val="BF26C2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64F24"/>
    <w:multiLevelType w:val="hybridMultilevel"/>
    <w:tmpl w:val="DD78E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55340"/>
    <w:multiLevelType w:val="hybridMultilevel"/>
    <w:tmpl w:val="89342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E6E50"/>
    <w:multiLevelType w:val="hybridMultilevel"/>
    <w:tmpl w:val="E80E1082"/>
    <w:lvl w:ilvl="0" w:tplc="6E0E86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A4B21"/>
    <w:multiLevelType w:val="hybridMultilevel"/>
    <w:tmpl w:val="EFC4CD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57626"/>
    <w:multiLevelType w:val="hybridMultilevel"/>
    <w:tmpl w:val="B1E412A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21CED"/>
    <w:multiLevelType w:val="hybridMultilevel"/>
    <w:tmpl w:val="E312DA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80C7F"/>
    <w:multiLevelType w:val="hybridMultilevel"/>
    <w:tmpl w:val="4572A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331A1"/>
    <w:multiLevelType w:val="hybridMultilevel"/>
    <w:tmpl w:val="40C406A4"/>
    <w:lvl w:ilvl="0" w:tplc="E45EA7D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D3794"/>
    <w:multiLevelType w:val="hybridMultilevel"/>
    <w:tmpl w:val="B0ECCF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94148"/>
    <w:multiLevelType w:val="hybridMultilevel"/>
    <w:tmpl w:val="585C26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104F9"/>
    <w:multiLevelType w:val="hybridMultilevel"/>
    <w:tmpl w:val="C9F447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B2A02"/>
    <w:multiLevelType w:val="hybridMultilevel"/>
    <w:tmpl w:val="95765C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27599"/>
    <w:multiLevelType w:val="hybridMultilevel"/>
    <w:tmpl w:val="E2A677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8B345F"/>
    <w:multiLevelType w:val="hybridMultilevel"/>
    <w:tmpl w:val="C9869E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BA3807"/>
    <w:multiLevelType w:val="hybridMultilevel"/>
    <w:tmpl w:val="43D25C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42AE2"/>
    <w:multiLevelType w:val="hybridMultilevel"/>
    <w:tmpl w:val="A5AC5A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B09A8"/>
    <w:multiLevelType w:val="hybridMultilevel"/>
    <w:tmpl w:val="EC7E3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B2984"/>
    <w:multiLevelType w:val="hybridMultilevel"/>
    <w:tmpl w:val="EF8EB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4956DD"/>
    <w:multiLevelType w:val="hybridMultilevel"/>
    <w:tmpl w:val="FF88C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27321"/>
    <w:multiLevelType w:val="hybridMultilevel"/>
    <w:tmpl w:val="10AA8FC0"/>
    <w:lvl w:ilvl="0" w:tplc="8FCE5D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BE45A3"/>
    <w:multiLevelType w:val="hybridMultilevel"/>
    <w:tmpl w:val="972E5E8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270158"/>
    <w:multiLevelType w:val="hybridMultilevel"/>
    <w:tmpl w:val="57AE28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446DF"/>
    <w:multiLevelType w:val="hybridMultilevel"/>
    <w:tmpl w:val="1AD0E75C"/>
    <w:lvl w:ilvl="0" w:tplc="786644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9"/>
  </w:num>
  <w:num w:numId="3">
    <w:abstractNumId w:val="13"/>
  </w:num>
  <w:num w:numId="4">
    <w:abstractNumId w:val="30"/>
  </w:num>
  <w:num w:numId="5">
    <w:abstractNumId w:val="35"/>
  </w:num>
  <w:num w:numId="6">
    <w:abstractNumId w:val="3"/>
  </w:num>
  <w:num w:numId="7">
    <w:abstractNumId w:val="12"/>
  </w:num>
  <w:num w:numId="8">
    <w:abstractNumId w:val="10"/>
  </w:num>
  <w:num w:numId="9">
    <w:abstractNumId w:val="33"/>
  </w:num>
  <w:num w:numId="10">
    <w:abstractNumId w:val="2"/>
  </w:num>
  <w:num w:numId="11">
    <w:abstractNumId w:val="22"/>
  </w:num>
  <w:num w:numId="12">
    <w:abstractNumId w:val="8"/>
  </w:num>
  <w:num w:numId="13">
    <w:abstractNumId w:val="26"/>
  </w:num>
  <w:num w:numId="14">
    <w:abstractNumId w:val="16"/>
  </w:num>
  <w:num w:numId="15">
    <w:abstractNumId w:val="24"/>
  </w:num>
  <w:num w:numId="16">
    <w:abstractNumId w:val="17"/>
  </w:num>
  <w:num w:numId="17">
    <w:abstractNumId w:val="17"/>
  </w:num>
  <w:num w:numId="18">
    <w:abstractNumId w:val="6"/>
  </w:num>
  <w:num w:numId="19">
    <w:abstractNumId w:val="40"/>
  </w:num>
  <w:num w:numId="20">
    <w:abstractNumId w:val="25"/>
  </w:num>
  <w:num w:numId="21">
    <w:abstractNumId w:val="21"/>
  </w:num>
  <w:num w:numId="22">
    <w:abstractNumId w:val="29"/>
  </w:num>
  <w:num w:numId="23">
    <w:abstractNumId w:val="20"/>
  </w:num>
  <w:num w:numId="24">
    <w:abstractNumId w:val="15"/>
  </w:num>
  <w:num w:numId="25">
    <w:abstractNumId w:val="1"/>
  </w:num>
  <w:num w:numId="26">
    <w:abstractNumId w:val="9"/>
  </w:num>
  <w:num w:numId="27">
    <w:abstractNumId w:val="4"/>
  </w:num>
  <w:num w:numId="28">
    <w:abstractNumId w:val="36"/>
  </w:num>
  <w:num w:numId="29">
    <w:abstractNumId w:val="23"/>
  </w:num>
  <w:num w:numId="30">
    <w:abstractNumId w:val="14"/>
  </w:num>
  <w:num w:numId="31">
    <w:abstractNumId w:val="38"/>
  </w:num>
  <w:num w:numId="32">
    <w:abstractNumId w:val="18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39"/>
  </w:num>
  <w:num w:numId="36">
    <w:abstractNumId w:val="37"/>
  </w:num>
  <w:num w:numId="37">
    <w:abstractNumId w:val="7"/>
  </w:num>
  <w:num w:numId="38">
    <w:abstractNumId w:val="0"/>
  </w:num>
  <w:num w:numId="39">
    <w:abstractNumId w:val="41"/>
  </w:num>
  <w:num w:numId="40">
    <w:abstractNumId w:val="28"/>
  </w:num>
  <w:num w:numId="41">
    <w:abstractNumId w:val="32"/>
  </w:num>
  <w:num w:numId="42">
    <w:abstractNumId w:val="5"/>
  </w:num>
  <w:num w:numId="43">
    <w:abstractNumId w:val="34"/>
  </w:num>
  <w:num w:numId="44">
    <w:abstractNumId w:val="11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8A"/>
    <w:rsid w:val="0000308A"/>
    <w:rsid w:val="0000384A"/>
    <w:rsid w:val="00004B17"/>
    <w:rsid w:val="00004CEF"/>
    <w:rsid w:val="0001126A"/>
    <w:rsid w:val="00013A78"/>
    <w:rsid w:val="00017E33"/>
    <w:rsid w:val="00022166"/>
    <w:rsid w:val="000262D6"/>
    <w:rsid w:val="0002632F"/>
    <w:rsid w:val="00030A48"/>
    <w:rsid w:val="00030E4E"/>
    <w:rsid w:val="00041212"/>
    <w:rsid w:val="00042816"/>
    <w:rsid w:val="00044892"/>
    <w:rsid w:val="00046A6B"/>
    <w:rsid w:val="00047CCA"/>
    <w:rsid w:val="00057C66"/>
    <w:rsid w:val="000601B9"/>
    <w:rsid w:val="00060D18"/>
    <w:rsid w:val="00063861"/>
    <w:rsid w:val="00073323"/>
    <w:rsid w:val="00090E58"/>
    <w:rsid w:val="000940BC"/>
    <w:rsid w:val="000A16E0"/>
    <w:rsid w:val="000B07D7"/>
    <w:rsid w:val="000B21A0"/>
    <w:rsid w:val="000B5C40"/>
    <w:rsid w:val="000B603C"/>
    <w:rsid w:val="000B6A90"/>
    <w:rsid w:val="000C63E8"/>
    <w:rsid w:val="000C6921"/>
    <w:rsid w:val="000C6A8B"/>
    <w:rsid w:val="000C706B"/>
    <w:rsid w:val="000D06D3"/>
    <w:rsid w:val="000D4265"/>
    <w:rsid w:val="000D7B47"/>
    <w:rsid w:val="000E03F8"/>
    <w:rsid w:val="000E12C9"/>
    <w:rsid w:val="000E3E07"/>
    <w:rsid w:val="000E41C7"/>
    <w:rsid w:val="000F08F9"/>
    <w:rsid w:val="000F16D1"/>
    <w:rsid w:val="000F28A8"/>
    <w:rsid w:val="000F2C0C"/>
    <w:rsid w:val="000F3BE8"/>
    <w:rsid w:val="000F52A6"/>
    <w:rsid w:val="00100B4B"/>
    <w:rsid w:val="0010412D"/>
    <w:rsid w:val="001053AB"/>
    <w:rsid w:val="001140DC"/>
    <w:rsid w:val="0012106E"/>
    <w:rsid w:val="001224BB"/>
    <w:rsid w:val="001242CC"/>
    <w:rsid w:val="001271AA"/>
    <w:rsid w:val="00127737"/>
    <w:rsid w:val="0013173D"/>
    <w:rsid w:val="00135A96"/>
    <w:rsid w:val="00136ECC"/>
    <w:rsid w:val="00137876"/>
    <w:rsid w:val="00144C26"/>
    <w:rsid w:val="00144E53"/>
    <w:rsid w:val="00146CDB"/>
    <w:rsid w:val="0015090F"/>
    <w:rsid w:val="00153DBC"/>
    <w:rsid w:val="00160AE3"/>
    <w:rsid w:val="00162498"/>
    <w:rsid w:val="00165268"/>
    <w:rsid w:val="00166DBF"/>
    <w:rsid w:val="00167217"/>
    <w:rsid w:val="00167615"/>
    <w:rsid w:val="001676F1"/>
    <w:rsid w:val="0017592B"/>
    <w:rsid w:val="00175E7B"/>
    <w:rsid w:val="00181BEA"/>
    <w:rsid w:val="0018225C"/>
    <w:rsid w:val="001824BB"/>
    <w:rsid w:val="001824BC"/>
    <w:rsid w:val="00185919"/>
    <w:rsid w:val="00185D99"/>
    <w:rsid w:val="00197482"/>
    <w:rsid w:val="001A118F"/>
    <w:rsid w:val="001A39B1"/>
    <w:rsid w:val="001A51AD"/>
    <w:rsid w:val="001A5633"/>
    <w:rsid w:val="001A7E65"/>
    <w:rsid w:val="001B09D6"/>
    <w:rsid w:val="001B12FA"/>
    <w:rsid w:val="001B5F7D"/>
    <w:rsid w:val="001B7A7B"/>
    <w:rsid w:val="001C1ED8"/>
    <w:rsid w:val="001C2FDA"/>
    <w:rsid w:val="001D1199"/>
    <w:rsid w:val="001D267F"/>
    <w:rsid w:val="001D2A21"/>
    <w:rsid w:val="001D414B"/>
    <w:rsid w:val="001E059D"/>
    <w:rsid w:val="001E228C"/>
    <w:rsid w:val="001E3459"/>
    <w:rsid w:val="001E3E20"/>
    <w:rsid w:val="001E43F2"/>
    <w:rsid w:val="001E563D"/>
    <w:rsid w:val="001E742B"/>
    <w:rsid w:val="001F2255"/>
    <w:rsid w:val="001F28AD"/>
    <w:rsid w:val="001F59E2"/>
    <w:rsid w:val="001F6608"/>
    <w:rsid w:val="00204135"/>
    <w:rsid w:val="00205FD0"/>
    <w:rsid w:val="00206FBC"/>
    <w:rsid w:val="00210F85"/>
    <w:rsid w:val="00212094"/>
    <w:rsid w:val="00216362"/>
    <w:rsid w:val="00216D33"/>
    <w:rsid w:val="00217F70"/>
    <w:rsid w:val="00221C3C"/>
    <w:rsid w:val="00223387"/>
    <w:rsid w:val="00227461"/>
    <w:rsid w:val="0024082F"/>
    <w:rsid w:val="002434A7"/>
    <w:rsid w:val="00244A3B"/>
    <w:rsid w:val="00246218"/>
    <w:rsid w:val="002516E7"/>
    <w:rsid w:val="00256358"/>
    <w:rsid w:val="00261259"/>
    <w:rsid w:val="00272A03"/>
    <w:rsid w:val="00275730"/>
    <w:rsid w:val="00277452"/>
    <w:rsid w:val="00277C2B"/>
    <w:rsid w:val="00277DEC"/>
    <w:rsid w:val="002932B7"/>
    <w:rsid w:val="00293D34"/>
    <w:rsid w:val="00294CF5"/>
    <w:rsid w:val="00295D58"/>
    <w:rsid w:val="002A21C3"/>
    <w:rsid w:val="002A41CA"/>
    <w:rsid w:val="002A4DAE"/>
    <w:rsid w:val="002C20A9"/>
    <w:rsid w:val="002C2A53"/>
    <w:rsid w:val="002C35EB"/>
    <w:rsid w:val="002C466F"/>
    <w:rsid w:val="002D029E"/>
    <w:rsid w:val="002D1BB4"/>
    <w:rsid w:val="002D2CC1"/>
    <w:rsid w:val="002D7F03"/>
    <w:rsid w:val="002D7FF7"/>
    <w:rsid w:val="002E6676"/>
    <w:rsid w:val="002F2629"/>
    <w:rsid w:val="002F75FB"/>
    <w:rsid w:val="00302618"/>
    <w:rsid w:val="00307823"/>
    <w:rsid w:val="00315E92"/>
    <w:rsid w:val="0031699D"/>
    <w:rsid w:val="00324454"/>
    <w:rsid w:val="00325286"/>
    <w:rsid w:val="00337EC4"/>
    <w:rsid w:val="00340236"/>
    <w:rsid w:val="00343E6B"/>
    <w:rsid w:val="00351CBE"/>
    <w:rsid w:val="00351CCB"/>
    <w:rsid w:val="00362468"/>
    <w:rsid w:val="00362969"/>
    <w:rsid w:val="00365384"/>
    <w:rsid w:val="0036680B"/>
    <w:rsid w:val="003703FA"/>
    <w:rsid w:val="003711F3"/>
    <w:rsid w:val="0037275B"/>
    <w:rsid w:val="0037681A"/>
    <w:rsid w:val="00380156"/>
    <w:rsid w:val="00380FEC"/>
    <w:rsid w:val="0038428B"/>
    <w:rsid w:val="003849B0"/>
    <w:rsid w:val="00394AF4"/>
    <w:rsid w:val="00395172"/>
    <w:rsid w:val="0039799B"/>
    <w:rsid w:val="003A0B28"/>
    <w:rsid w:val="003A0EED"/>
    <w:rsid w:val="003A5569"/>
    <w:rsid w:val="003A62C1"/>
    <w:rsid w:val="003A65B6"/>
    <w:rsid w:val="003A6A82"/>
    <w:rsid w:val="003B70AE"/>
    <w:rsid w:val="003C151C"/>
    <w:rsid w:val="003C5A15"/>
    <w:rsid w:val="003D112A"/>
    <w:rsid w:val="003D11C2"/>
    <w:rsid w:val="003E4219"/>
    <w:rsid w:val="003E42B4"/>
    <w:rsid w:val="003E5D42"/>
    <w:rsid w:val="003E7340"/>
    <w:rsid w:val="003F1772"/>
    <w:rsid w:val="00402C0D"/>
    <w:rsid w:val="00405F7B"/>
    <w:rsid w:val="00406EF9"/>
    <w:rsid w:val="004142A3"/>
    <w:rsid w:val="0041577F"/>
    <w:rsid w:val="00420085"/>
    <w:rsid w:val="00420338"/>
    <w:rsid w:val="004241E6"/>
    <w:rsid w:val="00425B5C"/>
    <w:rsid w:val="00425E2A"/>
    <w:rsid w:val="004307D5"/>
    <w:rsid w:val="0043112A"/>
    <w:rsid w:val="00442AF8"/>
    <w:rsid w:val="0044362B"/>
    <w:rsid w:val="00444E25"/>
    <w:rsid w:val="00445103"/>
    <w:rsid w:val="004471FF"/>
    <w:rsid w:val="00452377"/>
    <w:rsid w:val="00453410"/>
    <w:rsid w:val="00454184"/>
    <w:rsid w:val="00465192"/>
    <w:rsid w:val="0046567B"/>
    <w:rsid w:val="00470B38"/>
    <w:rsid w:val="004723EA"/>
    <w:rsid w:val="00474959"/>
    <w:rsid w:val="00484646"/>
    <w:rsid w:val="004855D8"/>
    <w:rsid w:val="00486448"/>
    <w:rsid w:val="004868C8"/>
    <w:rsid w:val="00487552"/>
    <w:rsid w:val="00490CDD"/>
    <w:rsid w:val="00491FDF"/>
    <w:rsid w:val="0049570F"/>
    <w:rsid w:val="004969C5"/>
    <w:rsid w:val="00496B0F"/>
    <w:rsid w:val="004A27F4"/>
    <w:rsid w:val="004A6C3A"/>
    <w:rsid w:val="004A6CB6"/>
    <w:rsid w:val="004B3257"/>
    <w:rsid w:val="004B6AF5"/>
    <w:rsid w:val="004B7257"/>
    <w:rsid w:val="004C0728"/>
    <w:rsid w:val="004D2C95"/>
    <w:rsid w:val="004D305D"/>
    <w:rsid w:val="004D49B1"/>
    <w:rsid w:val="004D5F51"/>
    <w:rsid w:val="004E0267"/>
    <w:rsid w:val="004E047A"/>
    <w:rsid w:val="004E1903"/>
    <w:rsid w:val="004E61C9"/>
    <w:rsid w:val="004E6913"/>
    <w:rsid w:val="004F1273"/>
    <w:rsid w:val="004F1F51"/>
    <w:rsid w:val="004F2F98"/>
    <w:rsid w:val="004F338F"/>
    <w:rsid w:val="004F6CB3"/>
    <w:rsid w:val="00500DE9"/>
    <w:rsid w:val="00506BED"/>
    <w:rsid w:val="00515929"/>
    <w:rsid w:val="00522BC6"/>
    <w:rsid w:val="00523B5D"/>
    <w:rsid w:val="00527275"/>
    <w:rsid w:val="00530640"/>
    <w:rsid w:val="00530ADD"/>
    <w:rsid w:val="00530F81"/>
    <w:rsid w:val="00536212"/>
    <w:rsid w:val="00537466"/>
    <w:rsid w:val="00537AF9"/>
    <w:rsid w:val="00540AE1"/>
    <w:rsid w:val="00545F6A"/>
    <w:rsid w:val="005476A6"/>
    <w:rsid w:val="005517AE"/>
    <w:rsid w:val="0055231A"/>
    <w:rsid w:val="00556CCE"/>
    <w:rsid w:val="0055729D"/>
    <w:rsid w:val="0055744D"/>
    <w:rsid w:val="00561DF8"/>
    <w:rsid w:val="00562506"/>
    <w:rsid w:val="00565858"/>
    <w:rsid w:val="005673EC"/>
    <w:rsid w:val="00577E46"/>
    <w:rsid w:val="005858BD"/>
    <w:rsid w:val="005871B6"/>
    <w:rsid w:val="00587BFE"/>
    <w:rsid w:val="00592F6D"/>
    <w:rsid w:val="00594135"/>
    <w:rsid w:val="00594DBD"/>
    <w:rsid w:val="0059560F"/>
    <w:rsid w:val="005A1C34"/>
    <w:rsid w:val="005A44EE"/>
    <w:rsid w:val="005A4F68"/>
    <w:rsid w:val="005A7C75"/>
    <w:rsid w:val="005A7E24"/>
    <w:rsid w:val="005B09A2"/>
    <w:rsid w:val="005C4E4A"/>
    <w:rsid w:val="005D2077"/>
    <w:rsid w:val="005D3CE9"/>
    <w:rsid w:val="005D3D4C"/>
    <w:rsid w:val="005E2011"/>
    <w:rsid w:val="005E476D"/>
    <w:rsid w:val="005E47C3"/>
    <w:rsid w:val="005E5DFA"/>
    <w:rsid w:val="005E6600"/>
    <w:rsid w:val="005E734E"/>
    <w:rsid w:val="005F2259"/>
    <w:rsid w:val="005F2D15"/>
    <w:rsid w:val="005F4EE6"/>
    <w:rsid w:val="005F5656"/>
    <w:rsid w:val="00600984"/>
    <w:rsid w:val="00600EDE"/>
    <w:rsid w:val="00602C53"/>
    <w:rsid w:val="006070DF"/>
    <w:rsid w:val="00620385"/>
    <w:rsid w:val="00622D3B"/>
    <w:rsid w:val="0062430A"/>
    <w:rsid w:val="00624694"/>
    <w:rsid w:val="00636D2B"/>
    <w:rsid w:val="00640081"/>
    <w:rsid w:val="00641289"/>
    <w:rsid w:val="00643474"/>
    <w:rsid w:val="00644E3B"/>
    <w:rsid w:val="006502BB"/>
    <w:rsid w:val="00663EB5"/>
    <w:rsid w:val="0067157C"/>
    <w:rsid w:val="00676F1E"/>
    <w:rsid w:val="0068090B"/>
    <w:rsid w:val="006833D8"/>
    <w:rsid w:val="006841CB"/>
    <w:rsid w:val="00685A7F"/>
    <w:rsid w:val="00687D59"/>
    <w:rsid w:val="00691EDB"/>
    <w:rsid w:val="006A32C9"/>
    <w:rsid w:val="006A4513"/>
    <w:rsid w:val="006A7DFE"/>
    <w:rsid w:val="006B425B"/>
    <w:rsid w:val="006C6282"/>
    <w:rsid w:val="006D1DAF"/>
    <w:rsid w:val="006D36CD"/>
    <w:rsid w:val="006D4638"/>
    <w:rsid w:val="006D5767"/>
    <w:rsid w:val="006D755B"/>
    <w:rsid w:val="006D7957"/>
    <w:rsid w:val="006E0909"/>
    <w:rsid w:val="006E28B6"/>
    <w:rsid w:val="006E5AE2"/>
    <w:rsid w:val="006E5F42"/>
    <w:rsid w:val="006F1FF4"/>
    <w:rsid w:val="006F30DF"/>
    <w:rsid w:val="006F31D0"/>
    <w:rsid w:val="006F366E"/>
    <w:rsid w:val="00704CB3"/>
    <w:rsid w:val="00706C8F"/>
    <w:rsid w:val="007079EA"/>
    <w:rsid w:val="00715CAB"/>
    <w:rsid w:val="00721170"/>
    <w:rsid w:val="00721770"/>
    <w:rsid w:val="007220A0"/>
    <w:rsid w:val="00723C2D"/>
    <w:rsid w:val="0072480B"/>
    <w:rsid w:val="007248D6"/>
    <w:rsid w:val="00726157"/>
    <w:rsid w:val="00732A0D"/>
    <w:rsid w:val="007331D2"/>
    <w:rsid w:val="00740161"/>
    <w:rsid w:val="00741FC4"/>
    <w:rsid w:val="00750671"/>
    <w:rsid w:val="0076153E"/>
    <w:rsid w:val="00766E92"/>
    <w:rsid w:val="007707EB"/>
    <w:rsid w:val="00770B36"/>
    <w:rsid w:val="00773D1C"/>
    <w:rsid w:val="007778F1"/>
    <w:rsid w:val="007817AA"/>
    <w:rsid w:val="007A0E66"/>
    <w:rsid w:val="007A79BE"/>
    <w:rsid w:val="007B31BC"/>
    <w:rsid w:val="007B3F38"/>
    <w:rsid w:val="007B7E16"/>
    <w:rsid w:val="007C1891"/>
    <w:rsid w:val="007C22F5"/>
    <w:rsid w:val="007D13AB"/>
    <w:rsid w:val="007D1874"/>
    <w:rsid w:val="007D59C4"/>
    <w:rsid w:val="007E0B7D"/>
    <w:rsid w:val="007E2260"/>
    <w:rsid w:val="007F0252"/>
    <w:rsid w:val="007F128C"/>
    <w:rsid w:val="007F248D"/>
    <w:rsid w:val="007F479B"/>
    <w:rsid w:val="007F568C"/>
    <w:rsid w:val="007F62FC"/>
    <w:rsid w:val="007F6453"/>
    <w:rsid w:val="007F6C55"/>
    <w:rsid w:val="0080065C"/>
    <w:rsid w:val="008015A6"/>
    <w:rsid w:val="00801F8D"/>
    <w:rsid w:val="008049ED"/>
    <w:rsid w:val="008072AB"/>
    <w:rsid w:val="00811F54"/>
    <w:rsid w:val="00813930"/>
    <w:rsid w:val="00816630"/>
    <w:rsid w:val="00816D54"/>
    <w:rsid w:val="00826CA7"/>
    <w:rsid w:val="00830D1B"/>
    <w:rsid w:val="008440B8"/>
    <w:rsid w:val="00854465"/>
    <w:rsid w:val="00856524"/>
    <w:rsid w:val="008604D6"/>
    <w:rsid w:val="00861EB7"/>
    <w:rsid w:val="00863301"/>
    <w:rsid w:val="0086560F"/>
    <w:rsid w:val="00865B7B"/>
    <w:rsid w:val="00867FD2"/>
    <w:rsid w:val="008744A8"/>
    <w:rsid w:val="008752C6"/>
    <w:rsid w:val="00877FEA"/>
    <w:rsid w:val="008823B4"/>
    <w:rsid w:val="0088321E"/>
    <w:rsid w:val="00884C64"/>
    <w:rsid w:val="00895F4C"/>
    <w:rsid w:val="008A2994"/>
    <w:rsid w:val="008A5E2B"/>
    <w:rsid w:val="008B117F"/>
    <w:rsid w:val="008B5D1E"/>
    <w:rsid w:val="008C7414"/>
    <w:rsid w:val="008C7E0C"/>
    <w:rsid w:val="008D09CD"/>
    <w:rsid w:val="008D3393"/>
    <w:rsid w:val="008E5905"/>
    <w:rsid w:val="008E698E"/>
    <w:rsid w:val="008F06D0"/>
    <w:rsid w:val="008F3354"/>
    <w:rsid w:val="008F4B9F"/>
    <w:rsid w:val="008F60EE"/>
    <w:rsid w:val="008F7988"/>
    <w:rsid w:val="00901553"/>
    <w:rsid w:val="00903B6C"/>
    <w:rsid w:val="00903ED7"/>
    <w:rsid w:val="00904EDB"/>
    <w:rsid w:val="009072AF"/>
    <w:rsid w:val="00907519"/>
    <w:rsid w:val="00914E47"/>
    <w:rsid w:val="00915AFA"/>
    <w:rsid w:val="00920A06"/>
    <w:rsid w:val="00922296"/>
    <w:rsid w:val="009267F9"/>
    <w:rsid w:val="00926A50"/>
    <w:rsid w:val="00932782"/>
    <w:rsid w:val="0093311E"/>
    <w:rsid w:val="009442A7"/>
    <w:rsid w:val="00945127"/>
    <w:rsid w:val="009471AB"/>
    <w:rsid w:val="00954744"/>
    <w:rsid w:val="00957646"/>
    <w:rsid w:val="00957D14"/>
    <w:rsid w:val="00961037"/>
    <w:rsid w:val="00971E23"/>
    <w:rsid w:val="00971EDD"/>
    <w:rsid w:val="00973F3C"/>
    <w:rsid w:val="00975876"/>
    <w:rsid w:val="00976B9C"/>
    <w:rsid w:val="00976E86"/>
    <w:rsid w:val="009817DB"/>
    <w:rsid w:val="00986725"/>
    <w:rsid w:val="009874A7"/>
    <w:rsid w:val="009874D6"/>
    <w:rsid w:val="0099145D"/>
    <w:rsid w:val="00991D40"/>
    <w:rsid w:val="009A0587"/>
    <w:rsid w:val="009A453C"/>
    <w:rsid w:val="009B7F95"/>
    <w:rsid w:val="009C46EF"/>
    <w:rsid w:val="009C5D60"/>
    <w:rsid w:val="009C6FB8"/>
    <w:rsid w:val="009D034B"/>
    <w:rsid w:val="009D2CAA"/>
    <w:rsid w:val="009D58CB"/>
    <w:rsid w:val="009E1306"/>
    <w:rsid w:val="009E1B34"/>
    <w:rsid w:val="009E50DE"/>
    <w:rsid w:val="009E6D50"/>
    <w:rsid w:val="009F0AFD"/>
    <w:rsid w:val="009F0DE7"/>
    <w:rsid w:val="009F1BC3"/>
    <w:rsid w:val="009F5F3C"/>
    <w:rsid w:val="009F6DA3"/>
    <w:rsid w:val="00A0238D"/>
    <w:rsid w:val="00A035F5"/>
    <w:rsid w:val="00A04D82"/>
    <w:rsid w:val="00A06731"/>
    <w:rsid w:val="00A07415"/>
    <w:rsid w:val="00A13CC5"/>
    <w:rsid w:val="00A15829"/>
    <w:rsid w:val="00A16A5B"/>
    <w:rsid w:val="00A17960"/>
    <w:rsid w:val="00A208FD"/>
    <w:rsid w:val="00A27E5A"/>
    <w:rsid w:val="00A30919"/>
    <w:rsid w:val="00A44F67"/>
    <w:rsid w:val="00A45785"/>
    <w:rsid w:val="00A47238"/>
    <w:rsid w:val="00A502CE"/>
    <w:rsid w:val="00A53282"/>
    <w:rsid w:val="00A5391A"/>
    <w:rsid w:val="00A549AD"/>
    <w:rsid w:val="00A56399"/>
    <w:rsid w:val="00A565D6"/>
    <w:rsid w:val="00A61E58"/>
    <w:rsid w:val="00A65320"/>
    <w:rsid w:val="00A80D87"/>
    <w:rsid w:val="00A8244B"/>
    <w:rsid w:val="00A82BF6"/>
    <w:rsid w:val="00A8385B"/>
    <w:rsid w:val="00A904DB"/>
    <w:rsid w:val="00A90B65"/>
    <w:rsid w:val="00A92AD1"/>
    <w:rsid w:val="00A94FD3"/>
    <w:rsid w:val="00AA53E1"/>
    <w:rsid w:val="00AA70F3"/>
    <w:rsid w:val="00AA7C61"/>
    <w:rsid w:val="00AB059B"/>
    <w:rsid w:val="00AB2A24"/>
    <w:rsid w:val="00AB3651"/>
    <w:rsid w:val="00AB712F"/>
    <w:rsid w:val="00AB7968"/>
    <w:rsid w:val="00AC5225"/>
    <w:rsid w:val="00AC5932"/>
    <w:rsid w:val="00AC6C7C"/>
    <w:rsid w:val="00AD019C"/>
    <w:rsid w:val="00AD07A1"/>
    <w:rsid w:val="00AD0E0E"/>
    <w:rsid w:val="00AD1777"/>
    <w:rsid w:val="00AD4CF8"/>
    <w:rsid w:val="00AD5551"/>
    <w:rsid w:val="00AD745A"/>
    <w:rsid w:val="00AE5078"/>
    <w:rsid w:val="00AE7D98"/>
    <w:rsid w:val="00AF2C1B"/>
    <w:rsid w:val="00AF3AD6"/>
    <w:rsid w:val="00AF45E6"/>
    <w:rsid w:val="00AF494E"/>
    <w:rsid w:val="00AF62AF"/>
    <w:rsid w:val="00AF67AC"/>
    <w:rsid w:val="00B03878"/>
    <w:rsid w:val="00B07AF9"/>
    <w:rsid w:val="00B10360"/>
    <w:rsid w:val="00B1310B"/>
    <w:rsid w:val="00B14015"/>
    <w:rsid w:val="00B156DC"/>
    <w:rsid w:val="00B16AC2"/>
    <w:rsid w:val="00B17737"/>
    <w:rsid w:val="00B22980"/>
    <w:rsid w:val="00B235FE"/>
    <w:rsid w:val="00B33ECB"/>
    <w:rsid w:val="00B44811"/>
    <w:rsid w:val="00B45FCA"/>
    <w:rsid w:val="00B5732B"/>
    <w:rsid w:val="00B6437A"/>
    <w:rsid w:val="00B646D3"/>
    <w:rsid w:val="00B67456"/>
    <w:rsid w:val="00B7138D"/>
    <w:rsid w:val="00B73F9D"/>
    <w:rsid w:val="00B751D9"/>
    <w:rsid w:val="00B76299"/>
    <w:rsid w:val="00B767AA"/>
    <w:rsid w:val="00B81A04"/>
    <w:rsid w:val="00B832E9"/>
    <w:rsid w:val="00B84D0C"/>
    <w:rsid w:val="00B86329"/>
    <w:rsid w:val="00B871DC"/>
    <w:rsid w:val="00B90207"/>
    <w:rsid w:val="00B90E1E"/>
    <w:rsid w:val="00B92B1C"/>
    <w:rsid w:val="00B95F00"/>
    <w:rsid w:val="00BA5606"/>
    <w:rsid w:val="00BA5A80"/>
    <w:rsid w:val="00BB72FF"/>
    <w:rsid w:val="00BC52BB"/>
    <w:rsid w:val="00BC543E"/>
    <w:rsid w:val="00BC5961"/>
    <w:rsid w:val="00BC6C4D"/>
    <w:rsid w:val="00BC7086"/>
    <w:rsid w:val="00BD2D29"/>
    <w:rsid w:val="00BD5024"/>
    <w:rsid w:val="00BD5403"/>
    <w:rsid w:val="00BD5B5C"/>
    <w:rsid w:val="00BD62D2"/>
    <w:rsid w:val="00BE7632"/>
    <w:rsid w:val="00BF10D6"/>
    <w:rsid w:val="00BF2904"/>
    <w:rsid w:val="00BF3384"/>
    <w:rsid w:val="00C00305"/>
    <w:rsid w:val="00C0777A"/>
    <w:rsid w:val="00C11AA1"/>
    <w:rsid w:val="00C12305"/>
    <w:rsid w:val="00C1245E"/>
    <w:rsid w:val="00C15F33"/>
    <w:rsid w:val="00C2604F"/>
    <w:rsid w:val="00C30BD5"/>
    <w:rsid w:val="00C343D2"/>
    <w:rsid w:val="00C42D4C"/>
    <w:rsid w:val="00C53EDB"/>
    <w:rsid w:val="00C54DF4"/>
    <w:rsid w:val="00C54FEF"/>
    <w:rsid w:val="00C55480"/>
    <w:rsid w:val="00C57E36"/>
    <w:rsid w:val="00C6042A"/>
    <w:rsid w:val="00C61364"/>
    <w:rsid w:val="00C61D98"/>
    <w:rsid w:val="00C63A6B"/>
    <w:rsid w:val="00C66F99"/>
    <w:rsid w:val="00C771F7"/>
    <w:rsid w:val="00C80179"/>
    <w:rsid w:val="00C81C10"/>
    <w:rsid w:val="00C82977"/>
    <w:rsid w:val="00C83E33"/>
    <w:rsid w:val="00C86024"/>
    <w:rsid w:val="00C86556"/>
    <w:rsid w:val="00C87D1C"/>
    <w:rsid w:val="00C91293"/>
    <w:rsid w:val="00C9230E"/>
    <w:rsid w:val="00C96268"/>
    <w:rsid w:val="00CA02DD"/>
    <w:rsid w:val="00CA17D9"/>
    <w:rsid w:val="00CA3299"/>
    <w:rsid w:val="00CA69A0"/>
    <w:rsid w:val="00CA7AC3"/>
    <w:rsid w:val="00CB2EAB"/>
    <w:rsid w:val="00CB700D"/>
    <w:rsid w:val="00CC376C"/>
    <w:rsid w:val="00CC4A86"/>
    <w:rsid w:val="00CC7478"/>
    <w:rsid w:val="00CD575F"/>
    <w:rsid w:val="00CD675A"/>
    <w:rsid w:val="00CE0241"/>
    <w:rsid w:val="00CE4F67"/>
    <w:rsid w:val="00CE52E2"/>
    <w:rsid w:val="00CE5310"/>
    <w:rsid w:val="00CE6715"/>
    <w:rsid w:val="00CE75DA"/>
    <w:rsid w:val="00CF0B8A"/>
    <w:rsid w:val="00CF3942"/>
    <w:rsid w:val="00CF39F5"/>
    <w:rsid w:val="00CF6448"/>
    <w:rsid w:val="00CF73DF"/>
    <w:rsid w:val="00D016A4"/>
    <w:rsid w:val="00D01ECE"/>
    <w:rsid w:val="00D02517"/>
    <w:rsid w:val="00D02F16"/>
    <w:rsid w:val="00D04AE8"/>
    <w:rsid w:val="00D068DA"/>
    <w:rsid w:val="00D10CF3"/>
    <w:rsid w:val="00D1125A"/>
    <w:rsid w:val="00D123EF"/>
    <w:rsid w:val="00D15FF6"/>
    <w:rsid w:val="00D22BA6"/>
    <w:rsid w:val="00D32AE9"/>
    <w:rsid w:val="00D34CF3"/>
    <w:rsid w:val="00D36978"/>
    <w:rsid w:val="00D52E04"/>
    <w:rsid w:val="00D57B96"/>
    <w:rsid w:val="00D7144E"/>
    <w:rsid w:val="00D7221A"/>
    <w:rsid w:val="00D73A91"/>
    <w:rsid w:val="00D74EB9"/>
    <w:rsid w:val="00D75CBD"/>
    <w:rsid w:val="00D75DD4"/>
    <w:rsid w:val="00D75E75"/>
    <w:rsid w:val="00D77104"/>
    <w:rsid w:val="00D80571"/>
    <w:rsid w:val="00D80591"/>
    <w:rsid w:val="00D837A4"/>
    <w:rsid w:val="00D90B67"/>
    <w:rsid w:val="00D9208B"/>
    <w:rsid w:val="00D94DAB"/>
    <w:rsid w:val="00D95F20"/>
    <w:rsid w:val="00DA19B2"/>
    <w:rsid w:val="00DA1A95"/>
    <w:rsid w:val="00DA3444"/>
    <w:rsid w:val="00DA4340"/>
    <w:rsid w:val="00DA4F3E"/>
    <w:rsid w:val="00DB78F7"/>
    <w:rsid w:val="00DC5A30"/>
    <w:rsid w:val="00DC5AEC"/>
    <w:rsid w:val="00DC60FD"/>
    <w:rsid w:val="00DD03B7"/>
    <w:rsid w:val="00DD0CBB"/>
    <w:rsid w:val="00DD11EA"/>
    <w:rsid w:val="00DD3768"/>
    <w:rsid w:val="00DD490D"/>
    <w:rsid w:val="00DE0392"/>
    <w:rsid w:val="00DE3EDD"/>
    <w:rsid w:val="00DE4890"/>
    <w:rsid w:val="00DF0024"/>
    <w:rsid w:val="00DF2C32"/>
    <w:rsid w:val="00DF434A"/>
    <w:rsid w:val="00DF5416"/>
    <w:rsid w:val="00DF54D2"/>
    <w:rsid w:val="00DF59B3"/>
    <w:rsid w:val="00E01168"/>
    <w:rsid w:val="00E01F19"/>
    <w:rsid w:val="00E02FB7"/>
    <w:rsid w:val="00E034CA"/>
    <w:rsid w:val="00E05382"/>
    <w:rsid w:val="00E07FB1"/>
    <w:rsid w:val="00E170B9"/>
    <w:rsid w:val="00E17C86"/>
    <w:rsid w:val="00E2083C"/>
    <w:rsid w:val="00E210E3"/>
    <w:rsid w:val="00E23BF7"/>
    <w:rsid w:val="00E35962"/>
    <w:rsid w:val="00E37756"/>
    <w:rsid w:val="00E37A58"/>
    <w:rsid w:val="00E41120"/>
    <w:rsid w:val="00E4453C"/>
    <w:rsid w:val="00E517CA"/>
    <w:rsid w:val="00E53978"/>
    <w:rsid w:val="00E556E0"/>
    <w:rsid w:val="00E55927"/>
    <w:rsid w:val="00E55C3D"/>
    <w:rsid w:val="00E57C2B"/>
    <w:rsid w:val="00E60E2D"/>
    <w:rsid w:val="00E61DAB"/>
    <w:rsid w:val="00E62E57"/>
    <w:rsid w:val="00E6559C"/>
    <w:rsid w:val="00E7057A"/>
    <w:rsid w:val="00E71EEB"/>
    <w:rsid w:val="00E745AA"/>
    <w:rsid w:val="00E74E03"/>
    <w:rsid w:val="00E7592A"/>
    <w:rsid w:val="00E75EAD"/>
    <w:rsid w:val="00E77937"/>
    <w:rsid w:val="00E77B39"/>
    <w:rsid w:val="00E846F8"/>
    <w:rsid w:val="00E87D1E"/>
    <w:rsid w:val="00E90782"/>
    <w:rsid w:val="00E9118A"/>
    <w:rsid w:val="00E9375A"/>
    <w:rsid w:val="00E93A11"/>
    <w:rsid w:val="00E9554F"/>
    <w:rsid w:val="00E96BF2"/>
    <w:rsid w:val="00EA215E"/>
    <w:rsid w:val="00EA3CF5"/>
    <w:rsid w:val="00EA60A8"/>
    <w:rsid w:val="00EA720B"/>
    <w:rsid w:val="00EB19F7"/>
    <w:rsid w:val="00EB1F81"/>
    <w:rsid w:val="00EB4406"/>
    <w:rsid w:val="00EB4D2B"/>
    <w:rsid w:val="00EB5D64"/>
    <w:rsid w:val="00EB5DF5"/>
    <w:rsid w:val="00EC159E"/>
    <w:rsid w:val="00EC63A5"/>
    <w:rsid w:val="00EC7952"/>
    <w:rsid w:val="00ED5753"/>
    <w:rsid w:val="00ED65C8"/>
    <w:rsid w:val="00ED74B0"/>
    <w:rsid w:val="00ED7EA8"/>
    <w:rsid w:val="00EE2D9C"/>
    <w:rsid w:val="00EE3D1E"/>
    <w:rsid w:val="00EE4E96"/>
    <w:rsid w:val="00EF153D"/>
    <w:rsid w:val="00EF1BFC"/>
    <w:rsid w:val="00EF319E"/>
    <w:rsid w:val="00EF78ED"/>
    <w:rsid w:val="00F00E18"/>
    <w:rsid w:val="00F01AEB"/>
    <w:rsid w:val="00F036CA"/>
    <w:rsid w:val="00F03B49"/>
    <w:rsid w:val="00F05BB5"/>
    <w:rsid w:val="00F063B7"/>
    <w:rsid w:val="00F13D02"/>
    <w:rsid w:val="00F14BE7"/>
    <w:rsid w:val="00F16A14"/>
    <w:rsid w:val="00F17F6E"/>
    <w:rsid w:val="00F204CA"/>
    <w:rsid w:val="00F23432"/>
    <w:rsid w:val="00F2569D"/>
    <w:rsid w:val="00F27EA4"/>
    <w:rsid w:val="00F32EDF"/>
    <w:rsid w:val="00F3674C"/>
    <w:rsid w:val="00F40692"/>
    <w:rsid w:val="00F423AA"/>
    <w:rsid w:val="00F42B2E"/>
    <w:rsid w:val="00F43DC8"/>
    <w:rsid w:val="00F448AC"/>
    <w:rsid w:val="00F45F5C"/>
    <w:rsid w:val="00F55DEB"/>
    <w:rsid w:val="00F57EBA"/>
    <w:rsid w:val="00F65266"/>
    <w:rsid w:val="00F66682"/>
    <w:rsid w:val="00F7373F"/>
    <w:rsid w:val="00F7546A"/>
    <w:rsid w:val="00F758D2"/>
    <w:rsid w:val="00F75E83"/>
    <w:rsid w:val="00F806B2"/>
    <w:rsid w:val="00F81FC8"/>
    <w:rsid w:val="00F874F8"/>
    <w:rsid w:val="00F918E9"/>
    <w:rsid w:val="00F920A2"/>
    <w:rsid w:val="00F92E91"/>
    <w:rsid w:val="00F96D83"/>
    <w:rsid w:val="00F979E9"/>
    <w:rsid w:val="00FA2374"/>
    <w:rsid w:val="00FA3809"/>
    <w:rsid w:val="00FA4D91"/>
    <w:rsid w:val="00FB099B"/>
    <w:rsid w:val="00FB0F2A"/>
    <w:rsid w:val="00FB2A52"/>
    <w:rsid w:val="00FB449B"/>
    <w:rsid w:val="00FD2F73"/>
    <w:rsid w:val="00FD44B6"/>
    <w:rsid w:val="00FF36EA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B29058C"/>
  <w15:chartTrackingRefBased/>
  <w15:docId w15:val="{6A7DCB2D-4D8C-4CC3-AFB1-E0625572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12094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4E190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E1903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7952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patChar">
    <w:name w:val="Zápatí Char"/>
    <w:link w:val="Zpat"/>
    <w:uiPriority w:val="99"/>
    <w:rsid w:val="00EC7952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85D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185D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185D99"/>
    <w:rPr>
      <w:sz w:val="24"/>
      <w:szCs w:val="24"/>
    </w:rPr>
  </w:style>
  <w:style w:type="table" w:styleId="Mkatabulky">
    <w:name w:val="Table Grid"/>
    <w:basedOn w:val="Normlntabulka"/>
    <w:uiPriority w:val="59"/>
    <w:rsid w:val="0072177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A06731"/>
    <w:rPr>
      <w:color w:val="0000FF"/>
      <w:u w:val="single"/>
    </w:rPr>
  </w:style>
  <w:style w:type="paragraph" w:customStyle="1" w:styleId="Textbody">
    <w:name w:val="Text body"/>
    <w:basedOn w:val="Normln"/>
    <w:rsid w:val="007D59C4"/>
    <w:pPr>
      <w:tabs>
        <w:tab w:val="left" w:pos="709"/>
      </w:tabs>
      <w:suppressAutoHyphens/>
      <w:autoSpaceDN w:val="0"/>
      <w:spacing w:line="100" w:lineRule="atLeast"/>
    </w:pPr>
    <w:rPr>
      <w:b/>
      <w:color w:val="00000A"/>
      <w:kern w:val="3"/>
      <w:szCs w:val="20"/>
    </w:rPr>
  </w:style>
  <w:style w:type="character" w:styleId="Odkaznakoment">
    <w:name w:val="annotation reference"/>
    <w:uiPriority w:val="99"/>
    <w:rsid w:val="00E377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377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756"/>
  </w:style>
  <w:style w:type="paragraph" w:styleId="Pedmtkomente">
    <w:name w:val="annotation subject"/>
    <w:basedOn w:val="Textkomente"/>
    <w:next w:val="Textkomente"/>
    <w:link w:val="PedmtkomenteChar"/>
    <w:rsid w:val="00E3775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37756"/>
    <w:rPr>
      <w:b/>
      <w:bCs/>
    </w:rPr>
  </w:style>
  <w:style w:type="character" w:customStyle="1" w:styleId="Nadpis1Char">
    <w:name w:val="Nadpis 1 Char"/>
    <w:link w:val="Nadpis1"/>
    <w:uiPriority w:val="9"/>
    <w:rsid w:val="00212094"/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customStyle="1" w:styleId="h1a5">
    <w:name w:val="h1a5"/>
    <w:rsid w:val="00004B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Bezmezer">
    <w:name w:val="No Spacing"/>
    <w:link w:val="BezmezerChar"/>
    <w:uiPriority w:val="1"/>
    <w:qFormat/>
    <w:rsid w:val="004F338F"/>
    <w:rPr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4F338F"/>
    <w:rPr>
      <w:sz w:val="24"/>
      <w:szCs w:val="24"/>
      <w:lang w:bidi="ar-SA"/>
    </w:rPr>
  </w:style>
  <w:style w:type="paragraph" w:styleId="Normlnweb">
    <w:name w:val="Normal (Web)"/>
    <w:basedOn w:val="Normln"/>
    <w:uiPriority w:val="99"/>
    <w:unhideWhenUsed/>
    <w:rsid w:val="00BD5B5C"/>
    <w:pPr>
      <w:spacing w:before="192" w:after="192" w:line="360" w:lineRule="atLeast"/>
    </w:pPr>
  </w:style>
  <w:style w:type="character" w:styleId="Sledovanodkaz">
    <w:name w:val="FollowedHyperlink"/>
    <w:rsid w:val="00AA53E1"/>
    <w:rPr>
      <w:color w:val="954F72"/>
      <w:u w:val="single"/>
    </w:rPr>
  </w:style>
  <w:style w:type="character" w:styleId="Zdraznn">
    <w:name w:val="Emphasis"/>
    <w:uiPriority w:val="20"/>
    <w:qFormat/>
    <w:rsid w:val="00B16AC2"/>
    <w:rPr>
      <w:i/>
      <w:iCs/>
    </w:rPr>
  </w:style>
  <w:style w:type="paragraph" w:styleId="Nzev">
    <w:name w:val="Title"/>
    <w:basedOn w:val="Normln"/>
    <w:link w:val="NzevChar"/>
    <w:qFormat/>
    <w:rsid w:val="0093311E"/>
    <w:pPr>
      <w:jc w:val="center"/>
    </w:pPr>
    <w:rPr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93311E"/>
    <w:rPr>
      <w:sz w:val="28"/>
    </w:rPr>
  </w:style>
  <w:style w:type="character" w:styleId="Siln">
    <w:name w:val="Strong"/>
    <w:qFormat/>
    <w:rsid w:val="00E90782"/>
    <w:rPr>
      <w:b/>
      <w:bCs/>
    </w:rPr>
  </w:style>
  <w:style w:type="paragraph" w:customStyle="1" w:styleId="Default">
    <w:name w:val="Default"/>
    <w:rsid w:val="002C35E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DF31F-DA36-4043-9939-0F181DCF8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765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obchodní inspekce</vt:lpstr>
    </vt:vector>
  </TitlesOfParts>
  <Company>COI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obchodní inspekce</dc:title>
  <dc:subject/>
  <dc:creator>vjanca</dc:creator>
  <cp:keywords/>
  <dc:description/>
  <cp:lastModifiedBy>Tichota Ondřej</cp:lastModifiedBy>
  <cp:revision>19</cp:revision>
  <cp:lastPrinted>2020-03-20T08:49:00Z</cp:lastPrinted>
  <dcterms:created xsi:type="dcterms:W3CDTF">2021-03-10T13:37:00Z</dcterms:created>
  <dcterms:modified xsi:type="dcterms:W3CDTF">2021-03-23T15:37:00Z</dcterms:modified>
</cp:coreProperties>
</file>