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277452" w14:paraId="47B791CE" w14:textId="77777777" w:rsidTr="002D7F03">
        <w:trPr>
          <w:trHeight w:val="907"/>
        </w:trPr>
        <w:tc>
          <w:tcPr>
            <w:tcW w:w="3085" w:type="dxa"/>
            <w:shd w:val="clear" w:color="auto" w:fill="auto"/>
          </w:tcPr>
          <w:p w14:paraId="09F54504" w14:textId="19D900EE" w:rsidR="002D7F03" w:rsidRPr="00277452" w:rsidRDefault="008072AB" w:rsidP="002D7F03">
            <w:pPr>
              <w:rPr>
                <w:rFonts w:ascii="Calibri" w:hAnsi="Calibri"/>
              </w:rPr>
            </w:pPr>
            <w:r>
              <w:rPr>
                <w:rFonts w:ascii="Calibri" w:hAnsi="Calibri"/>
                <w:noProof/>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77777777" w:rsidR="002D7F03" w:rsidRPr="00277452" w:rsidRDefault="002D7F03" w:rsidP="002D7F03">
            <w:pPr>
              <w:jc w:val="center"/>
              <w:rPr>
                <w:rFonts w:ascii="Calibri" w:hAnsi="Calibri" w:cs="Arial"/>
                <w:b/>
                <w:sz w:val="56"/>
                <w:szCs w:val="56"/>
              </w:rPr>
            </w:pPr>
            <w:r w:rsidRPr="00277452">
              <w:rPr>
                <w:rFonts w:ascii="Calibri" w:hAnsi="Calibri" w:cs="Arial"/>
                <w:b/>
                <w:sz w:val="56"/>
                <w:szCs w:val="56"/>
              </w:rPr>
              <w:t>TISKOVÁ ZPRÁVA</w:t>
            </w:r>
          </w:p>
        </w:tc>
      </w:tr>
    </w:tbl>
    <w:p w14:paraId="68617974" w14:textId="77777777" w:rsidR="004E047A" w:rsidRDefault="004E047A" w:rsidP="00C54DF4">
      <w:pPr>
        <w:jc w:val="both"/>
        <w:rPr>
          <w:rFonts w:ascii="Calibri" w:hAnsi="Calibri"/>
          <w:sz w:val="22"/>
          <w:szCs w:val="22"/>
        </w:rPr>
      </w:pPr>
    </w:p>
    <w:p w14:paraId="759C14DC" w14:textId="4FE6A044" w:rsidR="002C35EB" w:rsidRDefault="00F36DBF" w:rsidP="00C31D1D">
      <w:pPr>
        <w:spacing w:before="120"/>
        <w:jc w:val="both"/>
        <w:rPr>
          <w:rFonts w:ascii="Calibri" w:hAnsi="Calibri" w:cs="Arial"/>
          <w:b/>
          <w:color w:val="0070C0"/>
          <w:sz w:val="32"/>
          <w:szCs w:val="32"/>
        </w:rPr>
      </w:pPr>
      <w:r>
        <w:rPr>
          <w:rFonts w:ascii="Calibri" w:hAnsi="Calibri" w:cs="Arial"/>
          <w:b/>
          <w:color w:val="0070C0"/>
          <w:sz w:val="32"/>
          <w:szCs w:val="32"/>
        </w:rPr>
        <w:t>ČOI v roce 2020 prokázala prodej alkoholu mladistvým u 3 ze 4 kontrol</w:t>
      </w:r>
    </w:p>
    <w:p w14:paraId="61C73405" w14:textId="5FF479FF" w:rsidR="00C31D1D" w:rsidRPr="00C31D1D" w:rsidRDefault="00C31D1D" w:rsidP="00C31D1D">
      <w:pPr>
        <w:spacing w:after="120"/>
        <w:jc w:val="both"/>
        <w:rPr>
          <w:rFonts w:asciiTheme="minorHAnsi" w:hAnsiTheme="minorHAnsi" w:cstheme="minorHAnsi"/>
          <w:i/>
          <w:sz w:val="22"/>
          <w:szCs w:val="22"/>
        </w:rPr>
      </w:pPr>
      <w:r w:rsidRPr="00C31D1D">
        <w:rPr>
          <w:rFonts w:asciiTheme="minorHAnsi" w:hAnsiTheme="minorHAnsi" w:cstheme="minorHAnsi"/>
          <w:i/>
          <w:sz w:val="22"/>
          <w:szCs w:val="22"/>
        </w:rPr>
        <w:t>(Závěrečná zpráva</w:t>
      </w:r>
      <w:r w:rsidR="00C56BB5">
        <w:rPr>
          <w:rFonts w:asciiTheme="minorHAnsi" w:hAnsiTheme="minorHAnsi" w:cstheme="minorHAnsi"/>
          <w:i/>
          <w:sz w:val="22"/>
          <w:szCs w:val="22"/>
        </w:rPr>
        <w:t xml:space="preserve"> za rok</w:t>
      </w:r>
      <w:r w:rsidRPr="00C31D1D">
        <w:rPr>
          <w:rFonts w:asciiTheme="minorHAnsi" w:hAnsiTheme="minorHAnsi" w:cstheme="minorHAnsi"/>
          <w:i/>
          <w:sz w:val="22"/>
          <w:szCs w:val="22"/>
        </w:rPr>
        <w:t xml:space="preserve"> 2020)</w:t>
      </w:r>
    </w:p>
    <w:p w14:paraId="451E85C7" w14:textId="7E28FCF2" w:rsidR="00C31D1D" w:rsidRPr="00C31D1D" w:rsidRDefault="00AC5225" w:rsidP="00C31D1D">
      <w:pPr>
        <w:spacing w:before="120" w:after="120" w:line="276" w:lineRule="auto"/>
        <w:jc w:val="both"/>
        <w:rPr>
          <w:rFonts w:asciiTheme="minorHAnsi" w:hAnsiTheme="minorHAnsi" w:cstheme="minorHAnsi"/>
          <w:b/>
          <w:sz w:val="22"/>
          <w:szCs w:val="22"/>
        </w:rPr>
      </w:pPr>
      <w:r w:rsidRPr="0028582F">
        <w:rPr>
          <w:rFonts w:asciiTheme="minorHAnsi" w:hAnsiTheme="minorHAnsi" w:cstheme="minorHAnsi"/>
          <w:b/>
          <w:i/>
          <w:sz w:val="22"/>
          <w:szCs w:val="22"/>
        </w:rPr>
        <w:t>(</w:t>
      </w:r>
      <w:r w:rsidR="0093311E" w:rsidRPr="0028582F">
        <w:rPr>
          <w:rFonts w:asciiTheme="minorHAnsi" w:hAnsiTheme="minorHAnsi" w:cstheme="minorHAnsi"/>
          <w:b/>
          <w:i/>
          <w:sz w:val="22"/>
          <w:szCs w:val="22"/>
        </w:rPr>
        <w:t>Praha</w:t>
      </w:r>
      <w:r w:rsidR="001676F1" w:rsidRPr="0028582F">
        <w:rPr>
          <w:rFonts w:asciiTheme="minorHAnsi" w:hAnsiTheme="minorHAnsi" w:cstheme="minorHAnsi"/>
          <w:b/>
          <w:i/>
          <w:sz w:val="22"/>
          <w:szCs w:val="22"/>
        </w:rPr>
        <w:t xml:space="preserve">, </w:t>
      </w:r>
      <w:r w:rsidR="00C31D1D" w:rsidRPr="0028582F">
        <w:rPr>
          <w:rFonts w:asciiTheme="minorHAnsi" w:hAnsiTheme="minorHAnsi" w:cstheme="minorHAnsi"/>
          <w:b/>
          <w:i/>
          <w:sz w:val="22"/>
          <w:szCs w:val="22"/>
        </w:rPr>
        <w:t>2</w:t>
      </w:r>
      <w:r w:rsidR="007F7E4C">
        <w:rPr>
          <w:rFonts w:asciiTheme="minorHAnsi" w:hAnsiTheme="minorHAnsi" w:cstheme="minorHAnsi"/>
          <w:b/>
          <w:i/>
          <w:sz w:val="22"/>
          <w:szCs w:val="22"/>
        </w:rPr>
        <w:t>6</w:t>
      </w:r>
      <w:bookmarkStart w:id="0" w:name="_GoBack"/>
      <w:bookmarkEnd w:id="0"/>
      <w:r w:rsidR="00BD5B5C" w:rsidRPr="0028582F">
        <w:rPr>
          <w:rFonts w:asciiTheme="minorHAnsi" w:hAnsiTheme="minorHAnsi" w:cstheme="minorHAnsi"/>
          <w:b/>
          <w:i/>
          <w:sz w:val="22"/>
          <w:szCs w:val="22"/>
        </w:rPr>
        <w:t>.</w:t>
      </w:r>
      <w:r w:rsidR="00CE0241" w:rsidRPr="0028582F">
        <w:rPr>
          <w:rFonts w:asciiTheme="minorHAnsi" w:hAnsiTheme="minorHAnsi" w:cstheme="minorHAnsi"/>
          <w:b/>
          <w:i/>
          <w:sz w:val="22"/>
          <w:szCs w:val="22"/>
        </w:rPr>
        <w:t xml:space="preserve"> </w:t>
      </w:r>
      <w:r w:rsidR="00903B6C" w:rsidRPr="0028582F">
        <w:rPr>
          <w:rFonts w:asciiTheme="minorHAnsi" w:hAnsiTheme="minorHAnsi" w:cstheme="minorHAnsi"/>
          <w:b/>
          <w:i/>
          <w:sz w:val="22"/>
          <w:szCs w:val="22"/>
        </w:rPr>
        <w:t>březen</w:t>
      </w:r>
      <w:r w:rsidR="00DA3444" w:rsidRPr="0028582F">
        <w:rPr>
          <w:rFonts w:asciiTheme="minorHAnsi" w:hAnsiTheme="minorHAnsi" w:cstheme="minorHAnsi"/>
          <w:b/>
          <w:i/>
          <w:sz w:val="22"/>
          <w:szCs w:val="22"/>
        </w:rPr>
        <w:t xml:space="preserve"> 202</w:t>
      </w:r>
      <w:r w:rsidR="000B5C40" w:rsidRPr="0028582F">
        <w:rPr>
          <w:rFonts w:asciiTheme="minorHAnsi" w:hAnsiTheme="minorHAnsi" w:cstheme="minorHAnsi"/>
          <w:b/>
          <w:i/>
          <w:sz w:val="22"/>
          <w:szCs w:val="22"/>
        </w:rPr>
        <w:t>1</w:t>
      </w:r>
      <w:r w:rsidR="00CE0241" w:rsidRPr="0028582F">
        <w:rPr>
          <w:rFonts w:asciiTheme="minorHAnsi" w:hAnsiTheme="minorHAnsi" w:cstheme="minorHAnsi"/>
          <w:b/>
          <w:i/>
          <w:sz w:val="22"/>
          <w:szCs w:val="22"/>
        </w:rPr>
        <w:t>)</w:t>
      </w:r>
      <w:r w:rsidRPr="0028582F">
        <w:rPr>
          <w:rFonts w:asciiTheme="minorHAnsi" w:hAnsiTheme="minorHAnsi" w:cstheme="minorHAnsi"/>
          <w:b/>
          <w:sz w:val="22"/>
          <w:szCs w:val="22"/>
        </w:rPr>
        <w:t xml:space="preserve"> </w:t>
      </w:r>
      <w:r w:rsidR="00BB72FF" w:rsidRPr="0028582F">
        <w:rPr>
          <w:rFonts w:asciiTheme="minorHAnsi" w:hAnsiTheme="minorHAnsi" w:cstheme="minorHAnsi"/>
          <w:b/>
          <w:sz w:val="22"/>
          <w:szCs w:val="22"/>
        </w:rPr>
        <w:t xml:space="preserve">Česká </w:t>
      </w:r>
      <w:r w:rsidR="00BB5B88" w:rsidRPr="0028582F">
        <w:rPr>
          <w:rFonts w:asciiTheme="minorHAnsi" w:hAnsiTheme="minorHAnsi" w:cstheme="minorHAnsi"/>
          <w:b/>
          <w:sz w:val="22"/>
          <w:szCs w:val="22"/>
        </w:rPr>
        <w:t xml:space="preserve">obchodní </w:t>
      </w:r>
      <w:r w:rsidR="009C3054" w:rsidRPr="009C3054">
        <w:rPr>
          <w:rFonts w:asciiTheme="minorHAnsi" w:hAnsiTheme="minorHAnsi" w:cstheme="minorHAnsi"/>
          <w:b/>
          <w:sz w:val="22"/>
          <w:szCs w:val="22"/>
        </w:rPr>
        <w:t>inspekce vyhodnotila kontroly dodržování právních předpisů při prodeji alkoholu a tabáku. V průběhu roku 2020 uskutečnila celkem 5 382 kontrol a porušení zákonů zjistila téměř ve 44 %. „</w:t>
      </w:r>
      <w:r w:rsidR="009C3054" w:rsidRPr="00C56BB5">
        <w:rPr>
          <w:rFonts w:asciiTheme="minorHAnsi" w:hAnsiTheme="minorHAnsi" w:cstheme="minorHAnsi"/>
          <w:b/>
          <w:i/>
          <w:sz w:val="22"/>
          <w:szCs w:val="22"/>
        </w:rPr>
        <w:t>Za zvláště závažné lze považovat časté porušování zákazu prodeje nebo podávání alkoholických nápojů osobám mladším 18 let, které bylo zjištěno ve 171 případech</w:t>
      </w:r>
      <w:r w:rsidR="009301E3">
        <w:rPr>
          <w:rFonts w:asciiTheme="minorHAnsi" w:hAnsiTheme="minorHAnsi" w:cstheme="minorHAnsi"/>
          <w:b/>
          <w:i/>
          <w:sz w:val="22"/>
          <w:szCs w:val="22"/>
        </w:rPr>
        <w:t xml:space="preserve"> při 237 kontrolách s figuranty</w:t>
      </w:r>
      <w:r w:rsidR="009C3054" w:rsidRPr="00C56BB5">
        <w:rPr>
          <w:rFonts w:asciiTheme="minorHAnsi" w:hAnsiTheme="minorHAnsi" w:cstheme="minorHAnsi"/>
          <w:b/>
          <w:i/>
          <w:sz w:val="22"/>
          <w:szCs w:val="22"/>
        </w:rPr>
        <w:t>. Je tedy zřejmé, že pro osoby mladší 18 let není problém alkoholické nápoje v tržní síti zakoupit. Pro vysokou míru zdravotního rizika, které představuje konzumace al</w:t>
      </w:r>
      <w:r w:rsidR="00C56BB5" w:rsidRPr="00C56BB5">
        <w:rPr>
          <w:rFonts w:asciiTheme="minorHAnsi" w:hAnsiTheme="minorHAnsi" w:cstheme="minorHAnsi"/>
          <w:b/>
          <w:i/>
          <w:sz w:val="22"/>
          <w:szCs w:val="22"/>
        </w:rPr>
        <w:t xml:space="preserve">koholických nápojů </w:t>
      </w:r>
      <w:r w:rsidR="009C3054" w:rsidRPr="00C56BB5">
        <w:rPr>
          <w:rFonts w:asciiTheme="minorHAnsi" w:hAnsiTheme="minorHAnsi" w:cstheme="minorHAnsi"/>
          <w:b/>
          <w:i/>
          <w:sz w:val="22"/>
          <w:szCs w:val="22"/>
        </w:rPr>
        <w:t>zejména pro mladistvé, bude Česká obchodní inspekce v těchto kontrolách pokračovat i v roce 2021,</w:t>
      </w:r>
      <w:r w:rsidR="009C3054" w:rsidRPr="009C3054">
        <w:rPr>
          <w:rFonts w:asciiTheme="minorHAnsi" w:hAnsiTheme="minorHAnsi" w:cstheme="minorHAnsi"/>
          <w:b/>
          <w:sz w:val="22"/>
          <w:szCs w:val="22"/>
        </w:rPr>
        <w:t>“ říká k závěrům kontrol ředitel České obchodní inspekce Mojmír Bezecný.</w:t>
      </w:r>
    </w:p>
    <w:p w14:paraId="20D9D144" w14:textId="4CC9E641" w:rsidR="009C3054" w:rsidRDefault="009C3054" w:rsidP="00C31D1D">
      <w:pPr>
        <w:spacing w:before="120" w:after="120" w:line="276" w:lineRule="auto"/>
        <w:jc w:val="both"/>
        <w:rPr>
          <w:rFonts w:asciiTheme="minorHAnsi" w:hAnsiTheme="minorHAnsi" w:cstheme="minorHAnsi"/>
          <w:sz w:val="22"/>
          <w:szCs w:val="22"/>
        </w:rPr>
      </w:pPr>
      <w:r w:rsidRPr="009C3054">
        <w:rPr>
          <w:rFonts w:asciiTheme="minorHAnsi" w:hAnsiTheme="minorHAnsi" w:cstheme="minorHAnsi"/>
          <w:sz w:val="22"/>
          <w:szCs w:val="22"/>
        </w:rPr>
        <w:t xml:space="preserve">Česká obchodní inspekce v období od 2. ledna do 31. prosince 2020 uskutečnila 5 382 kontrol zaměřených na nabídku, prodej a skladování alkoholických nápojů a tabákových výrobků. Cílem kontrolní akce bylo prověřit dodržování právních předpisů, upravujících nabídku, prodej a skladování alkoholických nápojů a tabákových výrobků, zejména zákona č. 65/2017 Sb., o ochraně zdraví před škodlivými účinky návykových látek, zákona č. 307/2013 Sb., o povinném značení lihu a zákona č. 353/2003 Sb., o spotřebních daních. Dále byl kontrolován zákon č. 634/1992 Sb., o ochraně spotřebitele. </w:t>
      </w:r>
    </w:p>
    <w:p w14:paraId="7893236D" w14:textId="1BE20144" w:rsidR="009C3054" w:rsidRDefault="009C3054" w:rsidP="00C31D1D">
      <w:pPr>
        <w:spacing w:before="120" w:after="120" w:line="276" w:lineRule="auto"/>
        <w:jc w:val="both"/>
        <w:rPr>
          <w:rFonts w:asciiTheme="minorHAnsi" w:hAnsiTheme="minorHAnsi" w:cstheme="minorHAnsi"/>
          <w:sz w:val="22"/>
          <w:szCs w:val="22"/>
        </w:rPr>
      </w:pPr>
      <w:r w:rsidRPr="009C3054">
        <w:rPr>
          <w:rFonts w:asciiTheme="minorHAnsi" w:hAnsiTheme="minorHAnsi" w:cstheme="minorHAnsi"/>
          <w:sz w:val="22"/>
          <w:szCs w:val="22"/>
        </w:rPr>
        <w:t>Porušení některého z ustanovení zákona č. 65/2017 Sb., o ochraně zdraví před škodlivými účinky návykových látek, bylo zjištěno ve 288 případech.</w:t>
      </w:r>
    </w:p>
    <w:p w14:paraId="48574154" w14:textId="76175A24" w:rsidR="009C3054" w:rsidRDefault="009C3054" w:rsidP="00C31D1D">
      <w:pPr>
        <w:spacing w:before="120" w:after="120" w:line="276" w:lineRule="auto"/>
        <w:jc w:val="both"/>
        <w:rPr>
          <w:rFonts w:asciiTheme="minorHAnsi" w:hAnsiTheme="minorHAnsi" w:cstheme="minorHAnsi"/>
          <w:sz w:val="22"/>
          <w:szCs w:val="22"/>
        </w:rPr>
      </w:pPr>
      <w:r w:rsidRPr="009C3054">
        <w:rPr>
          <w:rFonts w:asciiTheme="minorHAnsi" w:hAnsiTheme="minorHAnsi" w:cstheme="minorHAnsi"/>
          <w:sz w:val="22"/>
          <w:szCs w:val="22"/>
        </w:rPr>
        <w:t>Porušení zákona č. 353/2003 Sb., o spotřebních daních, bylo kvalifikováno v 6 případech.</w:t>
      </w:r>
    </w:p>
    <w:p w14:paraId="78EA19D3" w14:textId="11561795" w:rsidR="009C3054" w:rsidRDefault="00C825E2" w:rsidP="00C31D1D">
      <w:pPr>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Při 2 </w:t>
      </w:r>
      <w:r w:rsidR="0010703D" w:rsidRPr="0010703D">
        <w:rPr>
          <w:rFonts w:asciiTheme="minorHAnsi" w:hAnsiTheme="minorHAnsi" w:cstheme="minorHAnsi"/>
          <w:sz w:val="22"/>
          <w:szCs w:val="22"/>
        </w:rPr>
        <w:t>329 kontrolách obchodníci porušili právní předpisy, což je 43,3 % z celkového počtu 5 382 provedených kontrol.</w:t>
      </w:r>
    </w:p>
    <w:p w14:paraId="283E355D" w14:textId="1E066C81" w:rsidR="0010703D" w:rsidRPr="00F36DBF" w:rsidRDefault="0010703D" w:rsidP="00C31D1D">
      <w:pPr>
        <w:spacing w:before="120" w:after="120" w:line="276" w:lineRule="auto"/>
        <w:jc w:val="both"/>
        <w:rPr>
          <w:rFonts w:asciiTheme="minorHAnsi" w:hAnsiTheme="minorHAnsi" w:cstheme="minorHAnsi"/>
          <w:sz w:val="22"/>
          <w:szCs w:val="22"/>
          <w:u w:val="single"/>
        </w:rPr>
      </w:pPr>
      <w:r w:rsidRPr="00F36DBF">
        <w:rPr>
          <w:rFonts w:asciiTheme="minorHAnsi" w:hAnsiTheme="minorHAnsi" w:cstheme="minorHAnsi"/>
          <w:sz w:val="22"/>
          <w:szCs w:val="22"/>
          <w:u w:val="single"/>
        </w:rPr>
        <w:t>V rámci kontrolní akce byly ke 237 kontrol</w:t>
      </w:r>
      <w:r w:rsidR="002A05D6" w:rsidRPr="00F36DBF">
        <w:rPr>
          <w:rFonts w:asciiTheme="minorHAnsi" w:hAnsiTheme="minorHAnsi" w:cstheme="minorHAnsi"/>
          <w:sz w:val="22"/>
          <w:szCs w:val="22"/>
          <w:u w:val="single"/>
        </w:rPr>
        <w:t>ám přizvány osoby mladší 18 let. Prodej alkoholických nápojů osobám mladším 18 let byl zjištěn ve 171 případech.</w:t>
      </w:r>
    </w:p>
    <w:p w14:paraId="12AAFD62" w14:textId="2EB84984" w:rsidR="0010703D" w:rsidRDefault="0010703D" w:rsidP="00C31D1D">
      <w:pPr>
        <w:spacing w:before="120" w:after="120" w:line="276" w:lineRule="auto"/>
        <w:jc w:val="both"/>
        <w:rPr>
          <w:rFonts w:asciiTheme="minorHAnsi" w:hAnsiTheme="minorHAnsi" w:cstheme="minorHAnsi"/>
          <w:sz w:val="22"/>
          <w:szCs w:val="22"/>
        </w:rPr>
      </w:pPr>
      <w:r w:rsidRPr="0010703D">
        <w:rPr>
          <w:rFonts w:asciiTheme="minorHAnsi" w:hAnsiTheme="minorHAnsi" w:cstheme="minorHAnsi"/>
          <w:sz w:val="22"/>
          <w:szCs w:val="22"/>
        </w:rPr>
        <w:t>ČOI při těchto kontrolách také spolupracovala s orgány státní správy, kdy 91 kontrol provedla za účasti Policie ČR, 122 kontrol bylo v součinnosti s pracovníky živnostenských úřadů, 26 kontrol ve</w:t>
      </w:r>
      <w:r w:rsidR="009301E3">
        <w:rPr>
          <w:rFonts w:asciiTheme="minorHAnsi" w:hAnsiTheme="minorHAnsi" w:cstheme="minorHAnsi"/>
          <w:sz w:val="22"/>
          <w:szCs w:val="22"/>
        </w:rPr>
        <w:t xml:space="preserve"> spolupráci s </w:t>
      </w:r>
      <w:r w:rsidRPr="0010703D">
        <w:rPr>
          <w:rFonts w:asciiTheme="minorHAnsi" w:hAnsiTheme="minorHAnsi" w:cstheme="minorHAnsi"/>
          <w:sz w:val="22"/>
          <w:szCs w:val="22"/>
        </w:rPr>
        <w:t>příslušníky Hasičského záchranného sboru ČR, 1 kontrola ve spolupráci s Českou inspekcí životního prostředí a rovněž 1 kontrola ve spolupráci s hygienickou stanicí.</w:t>
      </w:r>
    </w:p>
    <w:p w14:paraId="31F0D16C" w14:textId="0355149F" w:rsidR="004512B2" w:rsidRDefault="0010703D" w:rsidP="004512B2">
      <w:pPr>
        <w:spacing w:after="120"/>
        <w:contextualSpacing/>
        <w:jc w:val="both"/>
        <w:rPr>
          <w:rFonts w:cstheme="minorHAnsi"/>
        </w:rPr>
      </w:pPr>
      <w:r w:rsidRPr="0010703D">
        <w:rPr>
          <w:rFonts w:asciiTheme="minorHAnsi" w:hAnsiTheme="minorHAnsi" w:cstheme="minorHAnsi"/>
          <w:sz w:val="22"/>
          <w:szCs w:val="22"/>
        </w:rPr>
        <w:t>Česká obchodní inspekce byla ve své činnosti ovlivněna epidemiologickou situací a s ní souvisejícími opatřeními vlády ČR, které měly v roce 2020 vliv na snížení počtu provedených kontrol.</w:t>
      </w:r>
      <w:r w:rsidR="004512B2" w:rsidRPr="004512B2">
        <w:rPr>
          <w:rFonts w:cstheme="minorHAnsi"/>
        </w:rPr>
        <w:t xml:space="preserve"> </w:t>
      </w:r>
    </w:p>
    <w:p w14:paraId="7204DC05" w14:textId="3F7997DE" w:rsidR="004512B2" w:rsidRDefault="004512B2" w:rsidP="004512B2">
      <w:pPr>
        <w:spacing w:after="120"/>
        <w:contextualSpacing/>
        <w:jc w:val="both"/>
        <w:rPr>
          <w:rFonts w:cstheme="minorHAnsi"/>
        </w:rPr>
      </w:pPr>
    </w:p>
    <w:p w14:paraId="36C3E75B" w14:textId="148F6162" w:rsidR="004512B2" w:rsidRDefault="004512B2" w:rsidP="004512B2">
      <w:pPr>
        <w:spacing w:after="120"/>
        <w:contextualSpacing/>
        <w:jc w:val="both"/>
        <w:rPr>
          <w:rFonts w:cstheme="minorHAnsi"/>
        </w:rPr>
      </w:pPr>
    </w:p>
    <w:p w14:paraId="5B979F7A" w14:textId="77777777" w:rsidR="004512B2" w:rsidRDefault="004512B2" w:rsidP="004512B2">
      <w:pPr>
        <w:spacing w:after="120"/>
        <w:contextualSpacing/>
        <w:jc w:val="both"/>
        <w:rPr>
          <w:rFonts w:cstheme="minorHAnsi"/>
        </w:rPr>
      </w:pPr>
    </w:p>
    <w:p w14:paraId="7E9EE656" w14:textId="77777777" w:rsidR="004512B2" w:rsidRPr="004512B2" w:rsidRDefault="004512B2" w:rsidP="004512B2">
      <w:pPr>
        <w:spacing w:after="120"/>
        <w:contextualSpacing/>
        <w:jc w:val="both"/>
        <w:rPr>
          <w:rFonts w:asciiTheme="minorHAnsi" w:hAnsiTheme="minorHAnsi" w:cstheme="minorHAnsi"/>
          <w:sz w:val="20"/>
          <w:szCs w:val="20"/>
        </w:rPr>
      </w:pPr>
    </w:p>
    <w:tbl>
      <w:tblPr>
        <w:tblW w:w="9067" w:type="dxa"/>
        <w:tblCellMar>
          <w:left w:w="70" w:type="dxa"/>
          <w:right w:w="70" w:type="dxa"/>
        </w:tblCellMar>
        <w:tblLook w:val="04A0" w:firstRow="1" w:lastRow="0" w:firstColumn="1" w:lastColumn="0" w:noHBand="0" w:noVBand="1"/>
      </w:tblPr>
      <w:tblGrid>
        <w:gridCol w:w="3122"/>
        <w:gridCol w:w="2050"/>
        <w:gridCol w:w="1889"/>
        <w:gridCol w:w="2006"/>
      </w:tblGrid>
      <w:tr w:rsidR="004512B2" w:rsidRPr="004512B2" w14:paraId="0342D63F" w14:textId="77777777" w:rsidTr="002C77B6">
        <w:trPr>
          <w:trHeight w:val="309"/>
        </w:trPr>
        <w:tc>
          <w:tcPr>
            <w:tcW w:w="3122"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30F763BC" w14:textId="77777777" w:rsidR="004512B2" w:rsidRPr="00C56BB5" w:rsidRDefault="004512B2" w:rsidP="002C77B6">
            <w:pPr>
              <w:jc w:val="center"/>
              <w:rPr>
                <w:rFonts w:asciiTheme="minorHAnsi" w:hAnsiTheme="minorHAnsi" w:cstheme="minorHAnsi"/>
                <w:b/>
                <w:bCs/>
                <w:color w:val="000000"/>
                <w:sz w:val="22"/>
                <w:szCs w:val="22"/>
              </w:rPr>
            </w:pPr>
            <w:r w:rsidRPr="00C56BB5">
              <w:rPr>
                <w:rFonts w:asciiTheme="minorHAnsi" w:hAnsiTheme="minorHAnsi" w:cstheme="minorHAnsi"/>
                <w:b/>
                <w:bCs/>
                <w:color w:val="000000"/>
                <w:sz w:val="22"/>
                <w:szCs w:val="22"/>
              </w:rPr>
              <w:t>Inspektorát</w:t>
            </w:r>
          </w:p>
        </w:tc>
        <w:tc>
          <w:tcPr>
            <w:tcW w:w="2050"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1DB9EBC1" w14:textId="77777777" w:rsidR="004512B2" w:rsidRPr="00C56BB5" w:rsidRDefault="004512B2" w:rsidP="002C77B6">
            <w:pPr>
              <w:jc w:val="center"/>
              <w:rPr>
                <w:rFonts w:asciiTheme="minorHAnsi" w:hAnsiTheme="minorHAnsi" w:cstheme="minorHAnsi"/>
                <w:b/>
                <w:bCs/>
                <w:color w:val="000000"/>
                <w:sz w:val="22"/>
                <w:szCs w:val="22"/>
              </w:rPr>
            </w:pPr>
            <w:r w:rsidRPr="00C56BB5">
              <w:rPr>
                <w:rFonts w:asciiTheme="minorHAnsi" w:hAnsiTheme="minorHAnsi" w:cstheme="minorHAnsi"/>
                <w:b/>
                <w:bCs/>
                <w:color w:val="000000"/>
                <w:sz w:val="22"/>
                <w:szCs w:val="22"/>
              </w:rPr>
              <w:t>Počet provedených</w:t>
            </w:r>
          </w:p>
        </w:tc>
        <w:tc>
          <w:tcPr>
            <w:tcW w:w="1889" w:type="dxa"/>
            <w:vMerge w:val="restart"/>
            <w:tcBorders>
              <w:top w:val="single" w:sz="4" w:space="0" w:color="auto"/>
              <w:left w:val="single" w:sz="4" w:space="0" w:color="auto"/>
              <w:bottom w:val="double" w:sz="6" w:space="0" w:color="000000"/>
              <w:right w:val="nil"/>
            </w:tcBorders>
            <w:shd w:val="clear" w:color="000000" w:fill="C5D9F1"/>
            <w:noWrap/>
            <w:vAlign w:val="center"/>
            <w:hideMark/>
          </w:tcPr>
          <w:p w14:paraId="00961765" w14:textId="77777777" w:rsidR="004512B2" w:rsidRPr="00C56BB5" w:rsidRDefault="004512B2" w:rsidP="002C77B6">
            <w:pPr>
              <w:jc w:val="center"/>
              <w:rPr>
                <w:rFonts w:asciiTheme="minorHAnsi" w:hAnsiTheme="minorHAnsi" w:cstheme="minorHAnsi"/>
                <w:b/>
                <w:bCs/>
                <w:color w:val="000000"/>
                <w:sz w:val="22"/>
                <w:szCs w:val="22"/>
              </w:rPr>
            </w:pPr>
            <w:r w:rsidRPr="00C56BB5">
              <w:rPr>
                <w:rFonts w:asciiTheme="minorHAnsi" w:hAnsiTheme="minorHAnsi" w:cstheme="minorHAnsi"/>
                <w:b/>
                <w:bCs/>
                <w:color w:val="000000"/>
                <w:sz w:val="22"/>
                <w:szCs w:val="22"/>
              </w:rPr>
              <w:t>Kontroly se  zjištěním</w:t>
            </w:r>
          </w:p>
        </w:tc>
        <w:tc>
          <w:tcPr>
            <w:tcW w:w="2006"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190C2DB9" w14:textId="77777777" w:rsidR="004512B2" w:rsidRPr="00C56BB5" w:rsidRDefault="004512B2" w:rsidP="002C77B6">
            <w:pPr>
              <w:jc w:val="center"/>
              <w:rPr>
                <w:rFonts w:asciiTheme="minorHAnsi" w:hAnsiTheme="minorHAnsi" w:cstheme="minorHAnsi"/>
                <w:b/>
                <w:bCs/>
                <w:color w:val="000000"/>
                <w:sz w:val="22"/>
                <w:szCs w:val="22"/>
              </w:rPr>
            </w:pPr>
            <w:r w:rsidRPr="00C56BB5">
              <w:rPr>
                <w:rFonts w:asciiTheme="minorHAnsi" w:hAnsiTheme="minorHAnsi" w:cstheme="minorHAnsi"/>
                <w:b/>
                <w:bCs/>
                <w:color w:val="000000"/>
                <w:sz w:val="22"/>
                <w:szCs w:val="22"/>
              </w:rPr>
              <w:t>Zjištění v %</w:t>
            </w:r>
          </w:p>
        </w:tc>
      </w:tr>
      <w:tr w:rsidR="004512B2" w:rsidRPr="004512B2" w14:paraId="385228F8" w14:textId="77777777" w:rsidTr="002C77B6">
        <w:trPr>
          <w:trHeight w:val="450"/>
        </w:trPr>
        <w:tc>
          <w:tcPr>
            <w:tcW w:w="3122" w:type="dxa"/>
            <w:vMerge/>
            <w:tcBorders>
              <w:top w:val="nil"/>
              <w:left w:val="single" w:sz="4" w:space="0" w:color="auto"/>
              <w:bottom w:val="double" w:sz="6" w:space="0" w:color="000000"/>
              <w:right w:val="single" w:sz="4" w:space="0" w:color="auto"/>
            </w:tcBorders>
            <w:vAlign w:val="center"/>
            <w:hideMark/>
          </w:tcPr>
          <w:p w14:paraId="3621EB2B" w14:textId="77777777" w:rsidR="004512B2" w:rsidRPr="004512B2" w:rsidRDefault="004512B2" w:rsidP="002C77B6">
            <w:pPr>
              <w:rPr>
                <w:rFonts w:asciiTheme="minorHAnsi" w:hAnsiTheme="minorHAnsi" w:cstheme="minorHAnsi"/>
                <w:b/>
                <w:bCs/>
                <w:color w:val="000000"/>
                <w:sz w:val="20"/>
                <w:szCs w:val="20"/>
              </w:rPr>
            </w:pPr>
          </w:p>
        </w:tc>
        <w:tc>
          <w:tcPr>
            <w:tcW w:w="2050" w:type="dxa"/>
            <w:vMerge/>
            <w:tcBorders>
              <w:top w:val="nil"/>
              <w:left w:val="single" w:sz="4" w:space="0" w:color="auto"/>
              <w:bottom w:val="double" w:sz="6" w:space="0" w:color="000000"/>
              <w:right w:val="single" w:sz="4" w:space="0" w:color="auto"/>
            </w:tcBorders>
            <w:vAlign w:val="center"/>
            <w:hideMark/>
          </w:tcPr>
          <w:p w14:paraId="4E479C43" w14:textId="77777777" w:rsidR="004512B2" w:rsidRPr="004512B2" w:rsidRDefault="004512B2" w:rsidP="002C77B6">
            <w:pPr>
              <w:rPr>
                <w:rFonts w:asciiTheme="minorHAnsi" w:hAnsiTheme="minorHAnsi" w:cstheme="minorHAnsi"/>
                <w:b/>
                <w:bCs/>
                <w:color w:val="000000"/>
                <w:sz w:val="20"/>
                <w:szCs w:val="20"/>
              </w:rPr>
            </w:pPr>
          </w:p>
        </w:tc>
        <w:tc>
          <w:tcPr>
            <w:tcW w:w="1889" w:type="dxa"/>
            <w:vMerge/>
            <w:tcBorders>
              <w:top w:val="nil"/>
              <w:left w:val="single" w:sz="4" w:space="0" w:color="auto"/>
              <w:bottom w:val="double" w:sz="6" w:space="0" w:color="000000"/>
              <w:right w:val="nil"/>
            </w:tcBorders>
            <w:vAlign w:val="center"/>
            <w:hideMark/>
          </w:tcPr>
          <w:p w14:paraId="2C42A203" w14:textId="77777777" w:rsidR="004512B2" w:rsidRPr="004512B2" w:rsidRDefault="004512B2" w:rsidP="002C77B6">
            <w:pPr>
              <w:rPr>
                <w:rFonts w:asciiTheme="minorHAnsi" w:hAnsiTheme="minorHAnsi" w:cstheme="minorHAnsi"/>
                <w:b/>
                <w:bCs/>
                <w:color w:val="000000"/>
                <w:sz w:val="20"/>
                <w:szCs w:val="20"/>
              </w:rPr>
            </w:pPr>
          </w:p>
        </w:tc>
        <w:tc>
          <w:tcPr>
            <w:tcW w:w="2006" w:type="dxa"/>
            <w:vMerge/>
            <w:tcBorders>
              <w:top w:val="nil"/>
              <w:left w:val="single" w:sz="4" w:space="0" w:color="auto"/>
              <w:bottom w:val="double" w:sz="6" w:space="0" w:color="000000"/>
              <w:right w:val="single" w:sz="4" w:space="0" w:color="auto"/>
            </w:tcBorders>
            <w:vAlign w:val="center"/>
            <w:hideMark/>
          </w:tcPr>
          <w:p w14:paraId="134E279B" w14:textId="77777777" w:rsidR="004512B2" w:rsidRPr="004512B2" w:rsidRDefault="004512B2" w:rsidP="002C77B6">
            <w:pPr>
              <w:rPr>
                <w:rFonts w:asciiTheme="minorHAnsi" w:hAnsiTheme="minorHAnsi" w:cstheme="minorHAnsi"/>
                <w:b/>
                <w:bCs/>
                <w:color w:val="000000"/>
                <w:sz w:val="20"/>
                <w:szCs w:val="20"/>
              </w:rPr>
            </w:pPr>
          </w:p>
        </w:tc>
      </w:tr>
      <w:tr w:rsidR="004512B2" w:rsidRPr="004512B2" w14:paraId="4376F6E1" w14:textId="77777777" w:rsidTr="002C77B6">
        <w:trPr>
          <w:trHeight w:val="315"/>
        </w:trPr>
        <w:tc>
          <w:tcPr>
            <w:tcW w:w="3122" w:type="dxa"/>
            <w:tcBorders>
              <w:top w:val="nil"/>
              <w:left w:val="single" w:sz="4" w:space="0" w:color="auto"/>
              <w:bottom w:val="single" w:sz="4" w:space="0" w:color="auto"/>
              <w:right w:val="single" w:sz="4" w:space="0" w:color="auto"/>
            </w:tcBorders>
            <w:shd w:val="clear" w:color="000000" w:fill="DCE6F1"/>
            <w:noWrap/>
            <w:vAlign w:val="center"/>
            <w:hideMark/>
          </w:tcPr>
          <w:p w14:paraId="42FA8CC2" w14:textId="77777777" w:rsidR="004512B2" w:rsidRPr="00C56BB5" w:rsidRDefault="004512B2" w:rsidP="002C77B6">
            <w:pPr>
              <w:ind w:firstLineChars="100" w:firstLine="220"/>
              <w:rPr>
                <w:rFonts w:asciiTheme="minorHAnsi" w:hAnsiTheme="minorHAnsi" w:cstheme="minorHAnsi"/>
                <w:color w:val="000000"/>
                <w:sz w:val="22"/>
                <w:szCs w:val="22"/>
              </w:rPr>
            </w:pPr>
            <w:r w:rsidRPr="00C56BB5">
              <w:rPr>
                <w:rFonts w:asciiTheme="minorHAnsi" w:hAnsiTheme="minorHAnsi" w:cstheme="minorHAnsi"/>
                <w:color w:val="000000"/>
                <w:sz w:val="22"/>
                <w:szCs w:val="22"/>
              </w:rPr>
              <w:t>Středočeský a Hl. město Praha</w:t>
            </w:r>
          </w:p>
        </w:tc>
        <w:tc>
          <w:tcPr>
            <w:tcW w:w="2050" w:type="dxa"/>
            <w:tcBorders>
              <w:top w:val="nil"/>
              <w:left w:val="nil"/>
              <w:bottom w:val="single" w:sz="4" w:space="0" w:color="auto"/>
              <w:right w:val="single" w:sz="4" w:space="0" w:color="auto"/>
            </w:tcBorders>
            <w:shd w:val="clear" w:color="000000" w:fill="DCE6F1"/>
            <w:noWrap/>
            <w:vAlign w:val="center"/>
            <w:hideMark/>
          </w:tcPr>
          <w:p w14:paraId="20F6C013"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766</w:t>
            </w:r>
          </w:p>
        </w:tc>
        <w:tc>
          <w:tcPr>
            <w:tcW w:w="1889" w:type="dxa"/>
            <w:tcBorders>
              <w:top w:val="nil"/>
              <w:left w:val="nil"/>
              <w:bottom w:val="single" w:sz="4" w:space="0" w:color="auto"/>
              <w:right w:val="nil"/>
            </w:tcBorders>
            <w:shd w:val="clear" w:color="000000" w:fill="DCE6F1"/>
            <w:noWrap/>
            <w:vAlign w:val="center"/>
            <w:hideMark/>
          </w:tcPr>
          <w:p w14:paraId="35336B53"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453</w:t>
            </w:r>
          </w:p>
        </w:tc>
        <w:tc>
          <w:tcPr>
            <w:tcW w:w="2006" w:type="dxa"/>
            <w:tcBorders>
              <w:top w:val="nil"/>
              <w:left w:val="single" w:sz="4" w:space="0" w:color="auto"/>
              <w:bottom w:val="single" w:sz="4" w:space="0" w:color="auto"/>
              <w:right w:val="single" w:sz="4" w:space="0" w:color="auto"/>
            </w:tcBorders>
            <w:shd w:val="clear" w:color="000000" w:fill="DCE6F1"/>
            <w:noWrap/>
            <w:vAlign w:val="center"/>
            <w:hideMark/>
          </w:tcPr>
          <w:p w14:paraId="10A92180"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59,1%</w:t>
            </w:r>
          </w:p>
        </w:tc>
      </w:tr>
      <w:tr w:rsidR="004512B2" w:rsidRPr="004512B2" w14:paraId="5D81599A" w14:textId="77777777" w:rsidTr="002C77B6">
        <w:trPr>
          <w:trHeight w:val="300"/>
        </w:trPr>
        <w:tc>
          <w:tcPr>
            <w:tcW w:w="3122" w:type="dxa"/>
            <w:tcBorders>
              <w:top w:val="nil"/>
              <w:left w:val="single" w:sz="4" w:space="0" w:color="auto"/>
              <w:bottom w:val="single" w:sz="4" w:space="0" w:color="auto"/>
              <w:right w:val="single" w:sz="4" w:space="0" w:color="auto"/>
            </w:tcBorders>
            <w:shd w:val="clear" w:color="000000" w:fill="DAEEF3"/>
            <w:noWrap/>
            <w:vAlign w:val="center"/>
            <w:hideMark/>
          </w:tcPr>
          <w:p w14:paraId="45E9E53D" w14:textId="77777777" w:rsidR="004512B2" w:rsidRPr="00C56BB5" w:rsidRDefault="004512B2" w:rsidP="002C77B6">
            <w:pPr>
              <w:ind w:firstLineChars="100" w:firstLine="220"/>
              <w:rPr>
                <w:rFonts w:asciiTheme="minorHAnsi" w:hAnsiTheme="minorHAnsi" w:cstheme="minorHAnsi"/>
                <w:color w:val="000000"/>
                <w:sz w:val="22"/>
                <w:szCs w:val="22"/>
              </w:rPr>
            </w:pPr>
            <w:r w:rsidRPr="00C56BB5">
              <w:rPr>
                <w:rFonts w:asciiTheme="minorHAnsi" w:hAnsiTheme="minorHAnsi" w:cstheme="minorHAnsi"/>
                <w:color w:val="000000"/>
                <w:sz w:val="22"/>
                <w:szCs w:val="22"/>
              </w:rPr>
              <w:t>Jihočeský a Vysočina</w:t>
            </w:r>
          </w:p>
        </w:tc>
        <w:tc>
          <w:tcPr>
            <w:tcW w:w="2050" w:type="dxa"/>
            <w:tcBorders>
              <w:top w:val="nil"/>
              <w:left w:val="nil"/>
              <w:bottom w:val="single" w:sz="4" w:space="0" w:color="auto"/>
              <w:right w:val="single" w:sz="4" w:space="0" w:color="auto"/>
            </w:tcBorders>
            <w:shd w:val="clear" w:color="000000" w:fill="DAEEF3"/>
            <w:noWrap/>
            <w:vAlign w:val="center"/>
            <w:hideMark/>
          </w:tcPr>
          <w:p w14:paraId="390C2449"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956</w:t>
            </w:r>
          </w:p>
        </w:tc>
        <w:tc>
          <w:tcPr>
            <w:tcW w:w="1889" w:type="dxa"/>
            <w:tcBorders>
              <w:top w:val="nil"/>
              <w:left w:val="nil"/>
              <w:bottom w:val="single" w:sz="4" w:space="0" w:color="auto"/>
              <w:right w:val="nil"/>
            </w:tcBorders>
            <w:shd w:val="clear" w:color="000000" w:fill="DAEEF3"/>
            <w:noWrap/>
            <w:vAlign w:val="center"/>
            <w:hideMark/>
          </w:tcPr>
          <w:p w14:paraId="21D8D72B"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289</w:t>
            </w:r>
          </w:p>
        </w:tc>
        <w:tc>
          <w:tcPr>
            <w:tcW w:w="2006" w:type="dxa"/>
            <w:tcBorders>
              <w:top w:val="nil"/>
              <w:left w:val="single" w:sz="4" w:space="0" w:color="auto"/>
              <w:bottom w:val="single" w:sz="4" w:space="0" w:color="auto"/>
              <w:right w:val="single" w:sz="4" w:space="0" w:color="auto"/>
            </w:tcBorders>
            <w:shd w:val="clear" w:color="000000" w:fill="DAEEF3"/>
            <w:noWrap/>
            <w:vAlign w:val="center"/>
            <w:hideMark/>
          </w:tcPr>
          <w:p w14:paraId="16C34D83"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30,2%</w:t>
            </w:r>
          </w:p>
        </w:tc>
      </w:tr>
      <w:tr w:rsidR="004512B2" w:rsidRPr="004512B2" w14:paraId="5177F656" w14:textId="77777777" w:rsidTr="002C77B6">
        <w:trPr>
          <w:trHeight w:val="300"/>
        </w:trPr>
        <w:tc>
          <w:tcPr>
            <w:tcW w:w="3122" w:type="dxa"/>
            <w:tcBorders>
              <w:top w:val="nil"/>
              <w:left w:val="single" w:sz="4" w:space="0" w:color="auto"/>
              <w:bottom w:val="single" w:sz="4" w:space="0" w:color="auto"/>
              <w:right w:val="single" w:sz="4" w:space="0" w:color="auto"/>
            </w:tcBorders>
            <w:shd w:val="clear" w:color="000000" w:fill="DCE6F1"/>
            <w:noWrap/>
            <w:vAlign w:val="center"/>
            <w:hideMark/>
          </w:tcPr>
          <w:p w14:paraId="46575FEE" w14:textId="77777777" w:rsidR="004512B2" w:rsidRPr="00C56BB5" w:rsidRDefault="004512B2" w:rsidP="002C77B6">
            <w:pPr>
              <w:ind w:firstLineChars="100" w:firstLine="220"/>
              <w:rPr>
                <w:rFonts w:asciiTheme="minorHAnsi" w:hAnsiTheme="minorHAnsi" w:cstheme="minorHAnsi"/>
                <w:color w:val="000000"/>
                <w:sz w:val="22"/>
                <w:szCs w:val="22"/>
              </w:rPr>
            </w:pPr>
            <w:r w:rsidRPr="00C56BB5">
              <w:rPr>
                <w:rFonts w:asciiTheme="minorHAnsi" w:hAnsiTheme="minorHAnsi" w:cstheme="minorHAnsi"/>
                <w:color w:val="000000"/>
                <w:sz w:val="22"/>
                <w:szCs w:val="22"/>
              </w:rPr>
              <w:t>Plzeňský a Karlovarský</w:t>
            </w:r>
          </w:p>
        </w:tc>
        <w:tc>
          <w:tcPr>
            <w:tcW w:w="2050" w:type="dxa"/>
            <w:tcBorders>
              <w:top w:val="nil"/>
              <w:left w:val="nil"/>
              <w:bottom w:val="single" w:sz="4" w:space="0" w:color="auto"/>
              <w:right w:val="single" w:sz="4" w:space="0" w:color="auto"/>
            </w:tcBorders>
            <w:shd w:val="clear" w:color="000000" w:fill="DCE6F1"/>
            <w:noWrap/>
            <w:vAlign w:val="center"/>
            <w:hideMark/>
          </w:tcPr>
          <w:p w14:paraId="21081863"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496</w:t>
            </w:r>
          </w:p>
        </w:tc>
        <w:tc>
          <w:tcPr>
            <w:tcW w:w="1889" w:type="dxa"/>
            <w:tcBorders>
              <w:top w:val="nil"/>
              <w:left w:val="nil"/>
              <w:bottom w:val="single" w:sz="4" w:space="0" w:color="auto"/>
              <w:right w:val="nil"/>
            </w:tcBorders>
            <w:shd w:val="clear" w:color="000000" w:fill="DCE6F1"/>
            <w:noWrap/>
            <w:vAlign w:val="center"/>
            <w:hideMark/>
          </w:tcPr>
          <w:p w14:paraId="4E9C4928"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239</w:t>
            </w:r>
          </w:p>
        </w:tc>
        <w:tc>
          <w:tcPr>
            <w:tcW w:w="2006" w:type="dxa"/>
            <w:tcBorders>
              <w:top w:val="nil"/>
              <w:left w:val="single" w:sz="4" w:space="0" w:color="auto"/>
              <w:bottom w:val="single" w:sz="4" w:space="0" w:color="auto"/>
              <w:right w:val="single" w:sz="4" w:space="0" w:color="auto"/>
            </w:tcBorders>
            <w:shd w:val="clear" w:color="000000" w:fill="DCE6F1"/>
            <w:noWrap/>
            <w:vAlign w:val="center"/>
            <w:hideMark/>
          </w:tcPr>
          <w:p w14:paraId="5CAF7067"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48,2%</w:t>
            </w:r>
          </w:p>
        </w:tc>
      </w:tr>
      <w:tr w:rsidR="004512B2" w:rsidRPr="004512B2" w14:paraId="0D34760E" w14:textId="77777777" w:rsidTr="002C77B6">
        <w:trPr>
          <w:trHeight w:val="300"/>
        </w:trPr>
        <w:tc>
          <w:tcPr>
            <w:tcW w:w="3122" w:type="dxa"/>
            <w:tcBorders>
              <w:top w:val="nil"/>
              <w:left w:val="single" w:sz="4" w:space="0" w:color="auto"/>
              <w:bottom w:val="single" w:sz="4" w:space="0" w:color="auto"/>
              <w:right w:val="single" w:sz="4" w:space="0" w:color="auto"/>
            </w:tcBorders>
            <w:shd w:val="clear" w:color="000000" w:fill="DAEEF3"/>
            <w:noWrap/>
            <w:vAlign w:val="center"/>
            <w:hideMark/>
          </w:tcPr>
          <w:p w14:paraId="02320FB2" w14:textId="77777777" w:rsidR="004512B2" w:rsidRPr="00C56BB5" w:rsidRDefault="004512B2" w:rsidP="002C77B6">
            <w:pPr>
              <w:ind w:firstLineChars="100" w:firstLine="220"/>
              <w:rPr>
                <w:rFonts w:asciiTheme="minorHAnsi" w:hAnsiTheme="minorHAnsi" w:cstheme="minorHAnsi"/>
                <w:color w:val="000000"/>
                <w:sz w:val="22"/>
                <w:szCs w:val="22"/>
              </w:rPr>
            </w:pPr>
            <w:r w:rsidRPr="00C56BB5">
              <w:rPr>
                <w:rFonts w:asciiTheme="minorHAnsi" w:hAnsiTheme="minorHAnsi" w:cstheme="minorHAnsi"/>
                <w:color w:val="000000"/>
                <w:sz w:val="22"/>
                <w:szCs w:val="22"/>
              </w:rPr>
              <w:t>Ústecký a Liberecký</w:t>
            </w:r>
          </w:p>
        </w:tc>
        <w:tc>
          <w:tcPr>
            <w:tcW w:w="2050" w:type="dxa"/>
            <w:tcBorders>
              <w:top w:val="nil"/>
              <w:left w:val="nil"/>
              <w:bottom w:val="single" w:sz="4" w:space="0" w:color="auto"/>
              <w:right w:val="single" w:sz="4" w:space="0" w:color="auto"/>
            </w:tcBorders>
            <w:shd w:val="clear" w:color="000000" w:fill="DAEEF3"/>
            <w:noWrap/>
            <w:vAlign w:val="center"/>
            <w:hideMark/>
          </w:tcPr>
          <w:p w14:paraId="5590D9F5"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661</w:t>
            </w:r>
          </w:p>
        </w:tc>
        <w:tc>
          <w:tcPr>
            <w:tcW w:w="1889" w:type="dxa"/>
            <w:tcBorders>
              <w:top w:val="nil"/>
              <w:left w:val="nil"/>
              <w:bottom w:val="single" w:sz="4" w:space="0" w:color="auto"/>
              <w:right w:val="nil"/>
            </w:tcBorders>
            <w:shd w:val="clear" w:color="000000" w:fill="DAEEF3"/>
            <w:noWrap/>
            <w:vAlign w:val="center"/>
            <w:hideMark/>
          </w:tcPr>
          <w:p w14:paraId="310671FC"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294</w:t>
            </w:r>
          </w:p>
        </w:tc>
        <w:tc>
          <w:tcPr>
            <w:tcW w:w="2006" w:type="dxa"/>
            <w:tcBorders>
              <w:top w:val="nil"/>
              <w:left w:val="single" w:sz="4" w:space="0" w:color="auto"/>
              <w:bottom w:val="single" w:sz="4" w:space="0" w:color="auto"/>
              <w:right w:val="single" w:sz="4" w:space="0" w:color="auto"/>
            </w:tcBorders>
            <w:shd w:val="clear" w:color="000000" w:fill="DAEEF3"/>
            <w:noWrap/>
            <w:vAlign w:val="center"/>
            <w:hideMark/>
          </w:tcPr>
          <w:p w14:paraId="5F4FA331"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44,5%</w:t>
            </w:r>
          </w:p>
        </w:tc>
      </w:tr>
      <w:tr w:rsidR="004512B2" w:rsidRPr="004512B2" w14:paraId="76B20D15" w14:textId="77777777" w:rsidTr="002C77B6">
        <w:trPr>
          <w:trHeight w:val="300"/>
        </w:trPr>
        <w:tc>
          <w:tcPr>
            <w:tcW w:w="3122" w:type="dxa"/>
            <w:tcBorders>
              <w:top w:val="nil"/>
              <w:left w:val="single" w:sz="4" w:space="0" w:color="auto"/>
              <w:bottom w:val="single" w:sz="4" w:space="0" w:color="auto"/>
              <w:right w:val="single" w:sz="4" w:space="0" w:color="auto"/>
            </w:tcBorders>
            <w:shd w:val="clear" w:color="000000" w:fill="DCE6F1"/>
            <w:noWrap/>
            <w:vAlign w:val="center"/>
            <w:hideMark/>
          </w:tcPr>
          <w:p w14:paraId="30A1B61A" w14:textId="77777777" w:rsidR="004512B2" w:rsidRPr="00C56BB5" w:rsidRDefault="004512B2" w:rsidP="002C77B6">
            <w:pPr>
              <w:ind w:firstLineChars="100" w:firstLine="220"/>
              <w:rPr>
                <w:rFonts w:asciiTheme="minorHAnsi" w:hAnsiTheme="minorHAnsi" w:cstheme="minorHAnsi"/>
                <w:color w:val="000000"/>
                <w:sz w:val="22"/>
                <w:szCs w:val="22"/>
              </w:rPr>
            </w:pPr>
            <w:r w:rsidRPr="00C56BB5">
              <w:rPr>
                <w:rFonts w:asciiTheme="minorHAnsi" w:hAnsiTheme="minorHAnsi" w:cstheme="minorHAnsi"/>
                <w:color w:val="000000"/>
                <w:sz w:val="22"/>
                <w:szCs w:val="22"/>
              </w:rPr>
              <w:t>Královéhradecký a Pardubický</w:t>
            </w:r>
          </w:p>
        </w:tc>
        <w:tc>
          <w:tcPr>
            <w:tcW w:w="2050" w:type="dxa"/>
            <w:tcBorders>
              <w:top w:val="nil"/>
              <w:left w:val="nil"/>
              <w:bottom w:val="single" w:sz="4" w:space="0" w:color="auto"/>
              <w:right w:val="single" w:sz="4" w:space="0" w:color="auto"/>
            </w:tcBorders>
            <w:shd w:val="clear" w:color="000000" w:fill="DCE6F1"/>
            <w:noWrap/>
            <w:vAlign w:val="center"/>
            <w:hideMark/>
          </w:tcPr>
          <w:p w14:paraId="46D3D411"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1 101</w:t>
            </w:r>
          </w:p>
        </w:tc>
        <w:tc>
          <w:tcPr>
            <w:tcW w:w="1889" w:type="dxa"/>
            <w:tcBorders>
              <w:top w:val="nil"/>
              <w:left w:val="nil"/>
              <w:bottom w:val="single" w:sz="4" w:space="0" w:color="auto"/>
              <w:right w:val="nil"/>
            </w:tcBorders>
            <w:shd w:val="clear" w:color="000000" w:fill="DCE6F1"/>
            <w:noWrap/>
            <w:vAlign w:val="center"/>
            <w:hideMark/>
          </w:tcPr>
          <w:p w14:paraId="477B7B19"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383</w:t>
            </w:r>
          </w:p>
        </w:tc>
        <w:tc>
          <w:tcPr>
            <w:tcW w:w="2006" w:type="dxa"/>
            <w:tcBorders>
              <w:top w:val="nil"/>
              <w:left w:val="single" w:sz="4" w:space="0" w:color="auto"/>
              <w:bottom w:val="single" w:sz="4" w:space="0" w:color="auto"/>
              <w:right w:val="single" w:sz="4" w:space="0" w:color="auto"/>
            </w:tcBorders>
            <w:shd w:val="clear" w:color="000000" w:fill="DCE6F1"/>
            <w:noWrap/>
            <w:vAlign w:val="center"/>
            <w:hideMark/>
          </w:tcPr>
          <w:p w14:paraId="672E4FA3"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34,8%</w:t>
            </w:r>
          </w:p>
        </w:tc>
      </w:tr>
      <w:tr w:rsidR="004512B2" w:rsidRPr="004512B2" w14:paraId="4CBD1E33" w14:textId="77777777" w:rsidTr="002C77B6">
        <w:trPr>
          <w:trHeight w:val="300"/>
        </w:trPr>
        <w:tc>
          <w:tcPr>
            <w:tcW w:w="3122" w:type="dxa"/>
            <w:tcBorders>
              <w:top w:val="nil"/>
              <w:left w:val="single" w:sz="4" w:space="0" w:color="auto"/>
              <w:bottom w:val="single" w:sz="4" w:space="0" w:color="auto"/>
              <w:right w:val="single" w:sz="4" w:space="0" w:color="auto"/>
            </w:tcBorders>
            <w:shd w:val="clear" w:color="000000" w:fill="DAEEF3"/>
            <w:noWrap/>
            <w:vAlign w:val="center"/>
            <w:hideMark/>
          </w:tcPr>
          <w:p w14:paraId="27ACDBE9" w14:textId="77777777" w:rsidR="004512B2" w:rsidRPr="00C56BB5" w:rsidRDefault="004512B2" w:rsidP="002C77B6">
            <w:pPr>
              <w:ind w:firstLineChars="100" w:firstLine="220"/>
              <w:rPr>
                <w:rFonts w:asciiTheme="minorHAnsi" w:hAnsiTheme="minorHAnsi" w:cstheme="minorHAnsi"/>
                <w:color w:val="000000"/>
                <w:sz w:val="22"/>
                <w:szCs w:val="22"/>
              </w:rPr>
            </w:pPr>
            <w:r w:rsidRPr="00C56BB5">
              <w:rPr>
                <w:rFonts w:asciiTheme="minorHAnsi" w:hAnsiTheme="minorHAnsi" w:cstheme="minorHAnsi"/>
                <w:color w:val="000000"/>
                <w:sz w:val="22"/>
                <w:szCs w:val="22"/>
              </w:rPr>
              <w:t>Jihomoravský a Zlínský</w:t>
            </w:r>
          </w:p>
        </w:tc>
        <w:tc>
          <w:tcPr>
            <w:tcW w:w="2050" w:type="dxa"/>
            <w:tcBorders>
              <w:top w:val="nil"/>
              <w:left w:val="nil"/>
              <w:bottom w:val="single" w:sz="4" w:space="0" w:color="auto"/>
              <w:right w:val="single" w:sz="4" w:space="0" w:color="auto"/>
            </w:tcBorders>
            <w:shd w:val="clear" w:color="000000" w:fill="DAEEF3"/>
            <w:noWrap/>
            <w:vAlign w:val="center"/>
            <w:hideMark/>
          </w:tcPr>
          <w:p w14:paraId="2D7D4819"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456</w:t>
            </w:r>
          </w:p>
        </w:tc>
        <w:tc>
          <w:tcPr>
            <w:tcW w:w="1889" w:type="dxa"/>
            <w:tcBorders>
              <w:top w:val="nil"/>
              <w:left w:val="nil"/>
              <w:bottom w:val="single" w:sz="4" w:space="0" w:color="auto"/>
              <w:right w:val="nil"/>
            </w:tcBorders>
            <w:shd w:val="clear" w:color="000000" w:fill="DAEEF3"/>
            <w:noWrap/>
            <w:vAlign w:val="center"/>
            <w:hideMark/>
          </w:tcPr>
          <w:p w14:paraId="3A43A160"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163</w:t>
            </w:r>
          </w:p>
        </w:tc>
        <w:tc>
          <w:tcPr>
            <w:tcW w:w="2006" w:type="dxa"/>
            <w:tcBorders>
              <w:top w:val="nil"/>
              <w:left w:val="single" w:sz="4" w:space="0" w:color="auto"/>
              <w:bottom w:val="single" w:sz="4" w:space="0" w:color="auto"/>
              <w:right w:val="single" w:sz="4" w:space="0" w:color="auto"/>
            </w:tcBorders>
            <w:shd w:val="clear" w:color="000000" w:fill="DAEEF3"/>
            <w:noWrap/>
            <w:vAlign w:val="center"/>
            <w:hideMark/>
          </w:tcPr>
          <w:p w14:paraId="4F92C5DA"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35,8%</w:t>
            </w:r>
          </w:p>
        </w:tc>
      </w:tr>
      <w:tr w:rsidR="004512B2" w:rsidRPr="004512B2" w14:paraId="5B407423" w14:textId="77777777" w:rsidTr="002C77B6">
        <w:trPr>
          <w:trHeight w:val="315"/>
        </w:trPr>
        <w:tc>
          <w:tcPr>
            <w:tcW w:w="3122" w:type="dxa"/>
            <w:tcBorders>
              <w:top w:val="nil"/>
              <w:left w:val="single" w:sz="4" w:space="0" w:color="auto"/>
              <w:bottom w:val="nil"/>
              <w:right w:val="single" w:sz="4" w:space="0" w:color="auto"/>
            </w:tcBorders>
            <w:shd w:val="clear" w:color="000000" w:fill="DCE6F1"/>
            <w:noWrap/>
            <w:vAlign w:val="center"/>
            <w:hideMark/>
          </w:tcPr>
          <w:p w14:paraId="0E3C7AD9" w14:textId="77777777" w:rsidR="004512B2" w:rsidRPr="00C56BB5" w:rsidRDefault="004512B2" w:rsidP="002C77B6">
            <w:pPr>
              <w:ind w:firstLineChars="100" w:firstLine="220"/>
              <w:rPr>
                <w:rFonts w:asciiTheme="minorHAnsi" w:hAnsiTheme="minorHAnsi" w:cstheme="minorHAnsi"/>
                <w:color w:val="000000"/>
                <w:sz w:val="22"/>
                <w:szCs w:val="22"/>
              </w:rPr>
            </w:pPr>
            <w:r w:rsidRPr="00C56BB5">
              <w:rPr>
                <w:rFonts w:asciiTheme="minorHAnsi" w:hAnsiTheme="minorHAnsi" w:cstheme="minorHAnsi"/>
                <w:color w:val="000000"/>
                <w:sz w:val="22"/>
                <w:szCs w:val="22"/>
              </w:rPr>
              <w:t>Olomoucký a Moravskoslezský</w:t>
            </w:r>
          </w:p>
        </w:tc>
        <w:tc>
          <w:tcPr>
            <w:tcW w:w="2050" w:type="dxa"/>
            <w:tcBorders>
              <w:top w:val="nil"/>
              <w:left w:val="nil"/>
              <w:bottom w:val="nil"/>
              <w:right w:val="single" w:sz="4" w:space="0" w:color="auto"/>
            </w:tcBorders>
            <w:shd w:val="clear" w:color="000000" w:fill="DCE6F1"/>
            <w:noWrap/>
            <w:vAlign w:val="center"/>
            <w:hideMark/>
          </w:tcPr>
          <w:p w14:paraId="41419506"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946</w:t>
            </w:r>
          </w:p>
        </w:tc>
        <w:tc>
          <w:tcPr>
            <w:tcW w:w="1889" w:type="dxa"/>
            <w:tcBorders>
              <w:top w:val="nil"/>
              <w:left w:val="nil"/>
              <w:bottom w:val="nil"/>
              <w:right w:val="nil"/>
            </w:tcBorders>
            <w:shd w:val="clear" w:color="000000" w:fill="DCE6F1"/>
            <w:noWrap/>
            <w:vAlign w:val="center"/>
            <w:hideMark/>
          </w:tcPr>
          <w:p w14:paraId="0BFED7E2"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508</w:t>
            </w:r>
          </w:p>
        </w:tc>
        <w:tc>
          <w:tcPr>
            <w:tcW w:w="2006" w:type="dxa"/>
            <w:tcBorders>
              <w:top w:val="nil"/>
              <w:left w:val="single" w:sz="4" w:space="0" w:color="auto"/>
              <w:bottom w:val="nil"/>
              <w:right w:val="single" w:sz="4" w:space="0" w:color="auto"/>
            </w:tcBorders>
            <w:shd w:val="clear" w:color="000000" w:fill="DCE6F1"/>
            <w:noWrap/>
            <w:vAlign w:val="center"/>
            <w:hideMark/>
          </w:tcPr>
          <w:p w14:paraId="4AAC9E44" w14:textId="77777777" w:rsidR="004512B2" w:rsidRPr="00C56BB5" w:rsidRDefault="004512B2" w:rsidP="002C77B6">
            <w:pPr>
              <w:ind w:firstLineChars="400" w:firstLine="880"/>
              <w:jc w:val="right"/>
              <w:rPr>
                <w:rFonts w:asciiTheme="minorHAnsi" w:hAnsiTheme="minorHAnsi" w:cstheme="minorHAnsi"/>
                <w:color w:val="000000"/>
                <w:sz w:val="22"/>
                <w:szCs w:val="22"/>
              </w:rPr>
            </w:pPr>
            <w:r w:rsidRPr="00C56BB5">
              <w:rPr>
                <w:rFonts w:asciiTheme="minorHAnsi" w:hAnsiTheme="minorHAnsi" w:cstheme="minorHAnsi"/>
                <w:color w:val="000000"/>
                <w:sz w:val="22"/>
                <w:szCs w:val="22"/>
              </w:rPr>
              <w:t>53,7%</w:t>
            </w:r>
          </w:p>
        </w:tc>
      </w:tr>
      <w:tr w:rsidR="004512B2" w:rsidRPr="004512B2" w14:paraId="0750C533" w14:textId="77777777" w:rsidTr="002C77B6">
        <w:trPr>
          <w:trHeight w:val="390"/>
        </w:trPr>
        <w:tc>
          <w:tcPr>
            <w:tcW w:w="3122" w:type="dxa"/>
            <w:tcBorders>
              <w:top w:val="single" w:sz="8" w:space="0" w:color="auto"/>
              <w:left w:val="single" w:sz="4" w:space="0" w:color="auto"/>
              <w:bottom w:val="single" w:sz="4" w:space="0" w:color="auto"/>
              <w:right w:val="single" w:sz="4" w:space="0" w:color="auto"/>
            </w:tcBorders>
            <w:shd w:val="clear" w:color="000000" w:fill="DAEEF3"/>
            <w:noWrap/>
            <w:vAlign w:val="center"/>
            <w:hideMark/>
          </w:tcPr>
          <w:p w14:paraId="52B44FF6" w14:textId="77777777" w:rsidR="004512B2" w:rsidRPr="00C56BB5" w:rsidRDefault="004512B2" w:rsidP="002C77B6">
            <w:pPr>
              <w:ind w:firstLineChars="100" w:firstLine="220"/>
              <w:rPr>
                <w:rFonts w:asciiTheme="minorHAnsi" w:hAnsiTheme="minorHAnsi" w:cstheme="minorHAnsi"/>
                <w:b/>
                <w:color w:val="000000"/>
                <w:sz w:val="22"/>
                <w:szCs w:val="22"/>
              </w:rPr>
            </w:pPr>
            <w:r w:rsidRPr="00C56BB5">
              <w:rPr>
                <w:rFonts w:asciiTheme="minorHAnsi" w:hAnsiTheme="minorHAnsi" w:cstheme="minorHAnsi"/>
                <w:b/>
                <w:color w:val="000000"/>
                <w:sz w:val="22"/>
                <w:szCs w:val="22"/>
              </w:rPr>
              <w:t>Celkem</w:t>
            </w:r>
          </w:p>
        </w:tc>
        <w:tc>
          <w:tcPr>
            <w:tcW w:w="2050" w:type="dxa"/>
            <w:tcBorders>
              <w:top w:val="single" w:sz="8" w:space="0" w:color="auto"/>
              <w:left w:val="nil"/>
              <w:bottom w:val="single" w:sz="4" w:space="0" w:color="auto"/>
              <w:right w:val="single" w:sz="4" w:space="0" w:color="auto"/>
            </w:tcBorders>
            <w:shd w:val="clear" w:color="000000" w:fill="DAEEF3"/>
            <w:noWrap/>
            <w:vAlign w:val="center"/>
            <w:hideMark/>
          </w:tcPr>
          <w:p w14:paraId="6A6C63C3" w14:textId="77777777" w:rsidR="004512B2" w:rsidRPr="00C56BB5" w:rsidRDefault="004512B2" w:rsidP="002C77B6">
            <w:pPr>
              <w:ind w:firstLineChars="400" w:firstLine="880"/>
              <w:jc w:val="right"/>
              <w:rPr>
                <w:rFonts w:asciiTheme="minorHAnsi" w:hAnsiTheme="minorHAnsi" w:cstheme="minorHAnsi"/>
                <w:b/>
                <w:color w:val="000000"/>
                <w:sz w:val="22"/>
                <w:szCs w:val="22"/>
              </w:rPr>
            </w:pPr>
            <w:r w:rsidRPr="00C56BB5">
              <w:rPr>
                <w:rFonts w:asciiTheme="minorHAnsi" w:hAnsiTheme="minorHAnsi" w:cstheme="minorHAnsi"/>
                <w:b/>
                <w:color w:val="000000"/>
                <w:sz w:val="22"/>
                <w:szCs w:val="22"/>
              </w:rPr>
              <w:t>5 382</w:t>
            </w:r>
          </w:p>
        </w:tc>
        <w:tc>
          <w:tcPr>
            <w:tcW w:w="1889" w:type="dxa"/>
            <w:tcBorders>
              <w:top w:val="single" w:sz="8" w:space="0" w:color="auto"/>
              <w:left w:val="nil"/>
              <w:bottom w:val="single" w:sz="4" w:space="0" w:color="auto"/>
              <w:right w:val="nil"/>
            </w:tcBorders>
            <w:shd w:val="clear" w:color="000000" w:fill="DAEEF3"/>
            <w:noWrap/>
            <w:vAlign w:val="center"/>
            <w:hideMark/>
          </w:tcPr>
          <w:p w14:paraId="5B3C100C" w14:textId="77777777" w:rsidR="004512B2" w:rsidRPr="00C56BB5" w:rsidRDefault="004512B2" w:rsidP="002C77B6">
            <w:pPr>
              <w:ind w:firstLineChars="400" w:firstLine="880"/>
              <w:jc w:val="right"/>
              <w:rPr>
                <w:rFonts w:asciiTheme="minorHAnsi" w:hAnsiTheme="minorHAnsi" w:cstheme="minorHAnsi"/>
                <w:b/>
                <w:color w:val="000000"/>
                <w:sz w:val="22"/>
                <w:szCs w:val="22"/>
              </w:rPr>
            </w:pPr>
            <w:r w:rsidRPr="00C56BB5">
              <w:rPr>
                <w:rFonts w:asciiTheme="minorHAnsi" w:hAnsiTheme="minorHAnsi" w:cstheme="minorHAnsi"/>
                <w:b/>
                <w:color w:val="000000"/>
                <w:sz w:val="22"/>
                <w:szCs w:val="22"/>
              </w:rPr>
              <w:t>2 329</w:t>
            </w:r>
          </w:p>
        </w:tc>
        <w:tc>
          <w:tcPr>
            <w:tcW w:w="2006" w:type="dxa"/>
            <w:tcBorders>
              <w:top w:val="single" w:sz="8" w:space="0" w:color="auto"/>
              <w:left w:val="single" w:sz="4" w:space="0" w:color="auto"/>
              <w:bottom w:val="single" w:sz="4" w:space="0" w:color="auto"/>
              <w:right w:val="single" w:sz="4" w:space="0" w:color="auto"/>
            </w:tcBorders>
            <w:shd w:val="clear" w:color="000000" w:fill="DAEEF3"/>
            <w:noWrap/>
            <w:vAlign w:val="center"/>
            <w:hideMark/>
          </w:tcPr>
          <w:p w14:paraId="2A407EE4" w14:textId="77777777" w:rsidR="004512B2" w:rsidRPr="00C56BB5" w:rsidRDefault="004512B2" w:rsidP="002C77B6">
            <w:pPr>
              <w:ind w:firstLineChars="400" w:firstLine="880"/>
              <w:jc w:val="right"/>
              <w:rPr>
                <w:rFonts w:asciiTheme="minorHAnsi" w:hAnsiTheme="minorHAnsi" w:cstheme="minorHAnsi"/>
                <w:b/>
                <w:color w:val="000000"/>
                <w:sz w:val="22"/>
                <w:szCs w:val="22"/>
              </w:rPr>
            </w:pPr>
            <w:r w:rsidRPr="00C56BB5">
              <w:rPr>
                <w:rFonts w:asciiTheme="minorHAnsi" w:hAnsiTheme="minorHAnsi" w:cstheme="minorHAnsi"/>
                <w:b/>
                <w:color w:val="000000"/>
                <w:sz w:val="22"/>
                <w:szCs w:val="22"/>
              </w:rPr>
              <w:t>43,3%</w:t>
            </w:r>
          </w:p>
        </w:tc>
      </w:tr>
    </w:tbl>
    <w:p w14:paraId="55F2A96E" w14:textId="62CDF1F8" w:rsidR="0010703D" w:rsidRDefault="0010703D" w:rsidP="00C31D1D">
      <w:pPr>
        <w:spacing w:before="120" w:after="120" w:line="276" w:lineRule="auto"/>
        <w:jc w:val="both"/>
        <w:rPr>
          <w:rFonts w:asciiTheme="minorHAnsi" w:hAnsiTheme="minorHAnsi" w:cstheme="minorHAnsi"/>
          <w:sz w:val="22"/>
          <w:szCs w:val="22"/>
        </w:rPr>
      </w:pPr>
    </w:p>
    <w:p w14:paraId="47EBEB36" w14:textId="589E5FFC" w:rsidR="0010703D" w:rsidRPr="0010703D" w:rsidRDefault="0010703D" w:rsidP="00C31D1D">
      <w:pPr>
        <w:spacing w:before="120" w:after="120" w:line="276" w:lineRule="auto"/>
        <w:jc w:val="both"/>
        <w:rPr>
          <w:rFonts w:asciiTheme="minorHAnsi" w:hAnsiTheme="minorHAnsi" w:cstheme="minorHAnsi"/>
          <w:b/>
          <w:sz w:val="22"/>
          <w:szCs w:val="22"/>
        </w:rPr>
      </w:pPr>
      <w:r w:rsidRPr="0010703D">
        <w:rPr>
          <w:rFonts w:asciiTheme="minorHAnsi" w:hAnsiTheme="minorHAnsi" w:cstheme="minorHAnsi"/>
          <w:b/>
          <w:sz w:val="22"/>
          <w:szCs w:val="22"/>
        </w:rPr>
        <w:t>Zjištěné nedostatky</w:t>
      </w:r>
    </w:p>
    <w:p w14:paraId="646D236C" w14:textId="5F14CD2A" w:rsidR="0010703D" w:rsidRPr="0010703D" w:rsidRDefault="0010703D" w:rsidP="00C31D1D">
      <w:pPr>
        <w:spacing w:before="120" w:after="120" w:line="276" w:lineRule="auto"/>
        <w:jc w:val="both"/>
        <w:rPr>
          <w:rFonts w:asciiTheme="minorHAnsi" w:hAnsiTheme="minorHAnsi" w:cstheme="minorHAnsi"/>
          <w:sz w:val="22"/>
          <w:szCs w:val="22"/>
          <w:u w:val="single"/>
        </w:rPr>
      </w:pPr>
      <w:r w:rsidRPr="0010703D">
        <w:rPr>
          <w:rFonts w:asciiTheme="minorHAnsi" w:hAnsiTheme="minorHAnsi" w:cstheme="minorHAnsi"/>
          <w:sz w:val="22"/>
          <w:szCs w:val="22"/>
          <w:u w:val="single"/>
        </w:rPr>
        <w:t>Porušení některého z ustanovení zákona č. 65/2017 Sb., o ochraně zdraví před škodlivými účinky návykových látek, bylo zjištěno ve 288 případech.</w:t>
      </w:r>
    </w:p>
    <w:p w14:paraId="317DF640" w14:textId="77777777" w:rsidR="0010703D" w:rsidRPr="0010703D" w:rsidRDefault="0010703D" w:rsidP="004512B2">
      <w:pPr>
        <w:spacing w:before="120" w:after="120" w:line="276" w:lineRule="auto"/>
        <w:jc w:val="both"/>
        <w:rPr>
          <w:rFonts w:asciiTheme="minorHAnsi" w:hAnsiTheme="minorHAnsi" w:cstheme="minorHAnsi"/>
          <w:sz w:val="22"/>
          <w:szCs w:val="22"/>
        </w:rPr>
      </w:pPr>
      <w:r w:rsidRPr="0010703D">
        <w:rPr>
          <w:rFonts w:asciiTheme="minorHAnsi" w:hAnsiTheme="minorHAnsi" w:cstheme="minorHAnsi"/>
          <w:sz w:val="22"/>
          <w:szCs w:val="22"/>
        </w:rPr>
        <w:t>Nejčastěji obchodníci (255 případů) porušovali některá ustanovení týkající se prodeje alkoholu. Konkrétně se jednalo o tato ustanovení:</w:t>
      </w:r>
    </w:p>
    <w:p w14:paraId="485CD143" w14:textId="77777777" w:rsidR="0010703D" w:rsidRPr="0010703D" w:rsidRDefault="0010703D" w:rsidP="004512B2">
      <w:pPr>
        <w:pStyle w:val="Odstavecseseznamem"/>
        <w:numPr>
          <w:ilvl w:val="0"/>
          <w:numId w:val="45"/>
        </w:numPr>
        <w:spacing w:before="120" w:after="120"/>
        <w:ind w:left="714" w:hanging="357"/>
        <w:jc w:val="both"/>
        <w:rPr>
          <w:rFonts w:asciiTheme="minorHAnsi" w:hAnsiTheme="minorHAnsi" w:cstheme="minorHAnsi"/>
        </w:rPr>
      </w:pPr>
      <w:r w:rsidRPr="0010703D">
        <w:rPr>
          <w:rFonts w:asciiTheme="minorHAnsi" w:hAnsiTheme="minorHAnsi" w:cstheme="minorHAnsi"/>
        </w:rPr>
        <w:t xml:space="preserve">ve 171 případech bylo zjištěno porušení ustanovení, které zakazuje prodávat nebo podávat alkoholický nápoj osobě mladší 18 let (§ 11 odst. 5) </w:t>
      </w:r>
    </w:p>
    <w:p w14:paraId="2BD4D347" w14:textId="77777777" w:rsidR="0010703D" w:rsidRPr="0010703D" w:rsidRDefault="0010703D" w:rsidP="004512B2">
      <w:pPr>
        <w:pStyle w:val="Odstavecseseznamem"/>
        <w:numPr>
          <w:ilvl w:val="0"/>
          <w:numId w:val="45"/>
        </w:numPr>
        <w:spacing w:before="120" w:after="120"/>
        <w:jc w:val="both"/>
        <w:rPr>
          <w:rFonts w:asciiTheme="minorHAnsi" w:hAnsiTheme="minorHAnsi" w:cstheme="minorHAnsi"/>
        </w:rPr>
      </w:pPr>
      <w:r w:rsidRPr="0010703D">
        <w:rPr>
          <w:rFonts w:asciiTheme="minorHAnsi" w:hAnsiTheme="minorHAnsi" w:cstheme="minorHAnsi"/>
        </w:rPr>
        <w:t>v 78 případech prodejci neumístili na místech prodeje alkoholických nápojů pro spotřebitele zjevně viditelný text týkající se zákazu prodeje těchto nápojů osobám mladším 18 let, případně nebyl tento text pořízen v zákonem stanoveném provedení, tj. v českém jazyce, černými tiskacími písmeny na bílém podkladě o velikosti písmen nejméně 2 cm (§ 13 odst. 1)</w:t>
      </w:r>
    </w:p>
    <w:p w14:paraId="656154ED" w14:textId="1A739DBC" w:rsidR="0010703D" w:rsidRPr="004512B2" w:rsidRDefault="0010703D" w:rsidP="004512B2">
      <w:pPr>
        <w:pStyle w:val="Odstavecseseznamem"/>
        <w:numPr>
          <w:ilvl w:val="0"/>
          <w:numId w:val="45"/>
        </w:numPr>
        <w:spacing w:before="120" w:after="120"/>
        <w:jc w:val="both"/>
        <w:rPr>
          <w:rFonts w:asciiTheme="minorHAnsi" w:hAnsiTheme="minorHAnsi" w:cstheme="minorHAnsi"/>
        </w:rPr>
      </w:pPr>
      <w:r w:rsidRPr="0010703D">
        <w:rPr>
          <w:rFonts w:asciiTheme="minorHAnsi" w:hAnsiTheme="minorHAnsi" w:cstheme="minorHAnsi"/>
        </w:rPr>
        <w:t xml:space="preserve">v menší míře, v 6 případech, bylo porušeno některé jiné ustanovení tohoto zákona </w:t>
      </w:r>
    </w:p>
    <w:p w14:paraId="6204072D" w14:textId="77777777" w:rsidR="0010703D" w:rsidRPr="0010703D" w:rsidRDefault="0010703D" w:rsidP="004512B2">
      <w:pPr>
        <w:spacing w:before="120" w:after="120" w:line="276" w:lineRule="auto"/>
        <w:jc w:val="both"/>
        <w:rPr>
          <w:rFonts w:asciiTheme="minorHAnsi" w:hAnsiTheme="minorHAnsi" w:cstheme="minorHAnsi"/>
          <w:sz w:val="22"/>
          <w:szCs w:val="22"/>
        </w:rPr>
      </w:pPr>
      <w:r w:rsidRPr="0010703D">
        <w:rPr>
          <w:rFonts w:asciiTheme="minorHAnsi" w:hAnsiTheme="minorHAnsi" w:cstheme="minorHAnsi"/>
          <w:sz w:val="22"/>
          <w:szCs w:val="22"/>
        </w:rPr>
        <w:t>Dále obchodníci (33 případů) porušovali některá ustanovení týkající se prodeje tabáku, kdy například:</w:t>
      </w:r>
    </w:p>
    <w:p w14:paraId="4F942595" w14:textId="77777777" w:rsidR="0010703D" w:rsidRPr="0010703D" w:rsidRDefault="0010703D" w:rsidP="004512B2">
      <w:pPr>
        <w:pStyle w:val="Odstavecseseznamem"/>
        <w:numPr>
          <w:ilvl w:val="0"/>
          <w:numId w:val="46"/>
        </w:numPr>
        <w:spacing w:before="120" w:after="120"/>
        <w:jc w:val="both"/>
        <w:rPr>
          <w:rFonts w:asciiTheme="minorHAnsi" w:eastAsia="Times New Roman" w:hAnsiTheme="minorHAnsi" w:cstheme="minorHAnsi"/>
          <w:lang w:eastAsia="cs-CZ"/>
        </w:rPr>
      </w:pPr>
      <w:r w:rsidRPr="0010703D">
        <w:rPr>
          <w:rFonts w:asciiTheme="minorHAnsi" w:hAnsiTheme="minorHAnsi" w:cstheme="minorHAnsi"/>
        </w:rPr>
        <w:t xml:space="preserve">v 9 případech bylo zjištěno, že obchodníci </w:t>
      </w:r>
      <w:r w:rsidRPr="0010703D">
        <w:rPr>
          <w:rFonts w:asciiTheme="minorHAnsi" w:eastAsia="Times New Roman" w:hAnsiTheme="minorHAnsi" w:cstheme="minorHAnsi"/>
          <w:lang w:eastAsia="cs-CZ"/>
        </w:rPr>
        <w:t>porušili zákaz prodávat nebo podávat tabákové výrobky, bylinné výrobky určené ke kouření a elektronické cigarety a porušili zákaz prodávat nebo podávat kuřácké pomůcky osobě mladší 18 let (</w:t>
      </w:r>
      <w:r w:rsidRPr="0010703D">
        <w:rPr>
          <w:rFonts w:asciiTheme="minorHAnsi" w:hAnsiTheme="minorHAnsi" w:cstheme="minorHAnsi"/>
        </w:rPr>
        <w:t>§ 3 odst. 4)</w:t>
      </w:r>
    </w:p>
    <w:p w14:paraId="0172B5FA" w14:textId="77777777" w:rsidR="0010703D" w:rsidRPr="0010703D" w:rsidRDefault="0010703D" w:rsidP="004512B2">
      <w:pPr>
        <w:pStyle w:val="Odstavecseseznamem"/>
        <w:numPr>
          <w:ilvl w:val="0"/>
          <w:numId w:val="45"/>
        </w:numPr>
        <w:spacing w:before="120" w:after="120"/>
        <w:jc w:val="both"/>
        <w:rPr>
          <w:rFonts w:asciiTheme="minorHAnsi" w:eastAsia="Times New Roman" w:hAnsiTheme="minorHAnsi" w:cstheme="minorHAnsi"/>
          <w:lang w:eastAsia="cs-CZ"/>
        </w:rPr>
      </w:pPr>
      <w:r w:rsidRPr="0010703D">
        <w:rPr>
          <w:rFonts w:asciiTheme="minorHAnsi" w:hAnsiTheme="minorHAnsi" w:cstheme="minorHAnsi"/>
        </w:rPr>
        <w:t>v 8 případech p</w:t>
      </w:r>
      <w:r w:rsidRPr="0010703D">
        <w:rPr>
          <w:rFonts w:asciiTheme="minorHAnsi" w:eastAsia="Times New Roman" w:hAnsiTheme="minorHAnsi" w:cstheme="minorHAnsi"/>
          <w:lang w:eastAsia="cs-CZ"/>
        </w:rPr>
        <w:t>rodejce při prodeji tabákových výrobků, kuřáckých pomůcek, bylinných výrobků určených ke kouření a elektronických cigaret prostřednictvím prostředku komunikace na dálku nevyloučil prodej těchto výrobků osobám mladším 18 let, případně nebyl vybaven počítačovým systémem, který by jednoznačně ověřil věk spotřebitele, neboť prodejce je dle tohoto ustanovení povinen v okamžiku prodeje ověřit, že kupující spotřebitel není mladší 18 let (</w:t>
      </w:r>
      <w:r w:rsidRPr="0010703D">
        <w:rPr>
          <w:rFonts w:asciiTheme="minorHAnsi" w:hAnsiTheme="minorHAnsi" w:cstheme="minorHAnsi"/>
        </w:rPr>
        <w:t>§ 6 odst. 1)</w:t>
      </w:r>
    </w:p>
    <w:p w14:paraId="49A97207" w14:textId="4E74CF97" w:rsidR="0010703D" w:rsidRPr="004512B2" w:rsidRDefault="0010703D" w:rsidP="004512B2">
      <w:pPr>
        <w:pStyle w:val="Odstavecseseznamem"/>
        <w:numPr>
          <w:ilvl w:val="0"/>
          <w:numId w:val="45"/>
        </w:numPr>
        <w:spacing w:before="120" w:after="120"/>
        <w:jc w:val="both"/>
        <w:rPr>
          <w:rFonts w:asciiTheme="minorHAnsi" w:hAnsiTheme="minorHAnsi" w:cstheme="minorHAnsi"/>
        </w:rPr>
      </w:pPr>
      <w:r w:rsidRPr="0010703D">
        <w:rPr>
          <w:rFonts w:asciiTheme="minorHAnsi" w:eastAsia="Times New Roman" w:hAnsiTheme="minorHAnsi" w:cstheme="minorHAnsi"/>
          <w:lang w:eastAsia="cs-CZ"/>
        </w:rPr>
        <w:t xml:space="preserve">v dalších 16 případech bylo </w:t>
      </w:r>
      <w:r w:rsidRPr="0010703D">
        <w:rPr>
          <w:rFonts w:asciiTheme="minorHAnsi" w:hAnsiTheme="minorHAnsi" w:cstheme="minorHAnsi"/>
        </w:rPr>
        <w:t>porušeno některé jiné ustanovení tohoto zákona</w:t>
      </w:r>
    </w:p>
    <w:p w14:paraId="7C7961A1" w14:textId="7FB803AA" w:rsidR="0010703D" w:rsidRPr="004512B2" w:rsidRDefault="0010703D" w:rsidP="004512B2">
      <w:pPr>
        <w:spacing w:before="120" w:after="120" w:line="276" w:lineRule="auto"/>
        <w:jc w:val="both"/>
        <w:rPr>
          <w:rFonts w:asciiTheme="minorHAnsi" w:hAnsiTheme="minorHAnsi" w:cstheme="minorHAnsi"/>
          <w:sz w:val="22"/>
          <w:szCs w:val="22"/>
        </w:rPr>
      </w:pPr>
      <w:r w:rsidRPr="0010703D">
        <w:rPr>
          <w:rFonts w:asciiTheme="minorHAnsi" w:hAnsiTheme="minorHAnsi" w:cstheme="minorHAnsi"/>
          <w:sz w:val="22"/>
          <w:szCs w:val="22"/>
          <w:u w:val="single"/>
        </w:rPr>
        <w:lastRenderedPageBreak/>
        <w:t>Porušení zákona č. 353/2003 Sb., o spotřebních daních, bylo kvalifikováno v 6 případech,</w:t>
      </w:r>
      <w:r w:rsidRPr="0010703D">
        <w:rPr>
          <w:rFonts w:asciiTheme="minorHAnsi" w:hAnsiTheme="minorHAnsi" w:cstheme="minorHAnsi"/>
          <w:sz w:val="22"/>
          <w:szCs w:val="22"/>
        </w:rPr>
        <w:t xml:space="preserve"> kdy například ve 4 případech byl zjištěn prodej cigaret konečnému spotřebiteli za cenu vyšší, než byla cena uvedená na tabákové nálepce (§ 112).</w:t>
      </w:r>
    </w:p>
    <w:p w14:paraId="57A36B07" w14:textId="77777777" w:rsidR="0010703D" w:rsidRPr="0010703D" w:rsidRDefault="0010703D" w:rsidP="004512B2">
      <w:pPr>
        <w:pStyle w:val="Odstavecseseznamem"/>
        <w:shd w:val="clear" w:color="auto" w:fill="FFFFFF" w:themeFill="background1"/>
        <w:spacing w:before="120" w:after="120"/>
        <w:ind w:left="0"/>
        <w:jc w:val="both"/>
        <w:rPr>
          <w:rFonts w:asciiTheme="minorHAnsi" w:hAnsiTheme="minorHAnsi" w:cstheme="minorHAnsi"/>
        </w:rPr>
      </w:pPr>
      <w:r w:rsidRPr="0010703D">
        <w:rPr>
          <w:rFonts w:asciiTheme="minorHAnsi" w:hAnsiTheme="minorHAnsi" w:cstheme="minorHAnsi"/>
          <w:u w:val="single"/>
        </w:rPr>
        <w:t>Porušení některého z ustanovení zákona č. 634/1992 Sb., o ochraně spotřebitele, bylo prokázáno celkem v 2 666 případech.</w:t>
      </w:r>
      <w:r w:rsidRPr="0010703D">
        <w:rPr>
          <w:rFonts w:asciiTheme="minorHAnsi" w:hAnsiTheme="minorHAnsi" w:cstheme="minorHAnsi"/>
        </w:rPr>
        <w:t xml:space="preserve"> Mezi nejčastější porušení (1 099 případů) patřilo neseznámení spotřebitele s cenou nabízených výrobků a poskytovaných služeb (§ 12), v 864 případech se jednalo o porušování zásad poctivosti prodeje (§ 3) nebo v 289 případech nebyl vydán dokladu o zakoupení výrobků, ačkoli si o něj spotřebitel požádal nebo vydání dokladu bez potřebných náležitostí (§ 16). Porušení dalších ustanovení zákona o ochraně spotřebitele bylo zjištěno v menším počtu.</w:t>
      </w:r>
    </w:p>
    <w:p w14:paraId="334DCA07" w14:textId="77777777" w:rsidR="0010703D" w:rsidRPr="0010703D" w:rsidRDefault="0010703D" w:rsidP="004512B2">
      <w:pPr>
        <w:shd w:val="clear" w:color="auto" w:fill="FFFFFF" w:themeFill="background1"/>
        <w:spacing w:before="120" w:after="120" w:line="276" w:lineRule="auto"/>
        <w:jc w:val="both"/>
        <w:rPr>
          <w:rFonts w:asciiTheme="minorHAnsi" w:hAnsiTheme="minorHAnsi" w:cstheme="minorHAnsi"/>
          <w:sz w:val="22"/>
          <w:szCs w:val="22"/>
        </w:rPr>
      </w:pPr>
      <w:r w:rsidRPr="0010703D">
        <w:rPr>
          <w:rFonts w:asciiTheme="minorHAnsi" w:hAnsiTheme="minorHAnsi" w:cstheme="minorHAnsi"/>
          <w:sz w:val="22"/>
          <w:szCs w:val="22"/>
        </w:rPr>
        <w:t xml:space="preserve">Ve 102 případech bylo zjištěno porušení zákona č. 22/1997 Sb., o technických požadavcích na výrobky, v platném znění, v 50 případech došlo k porušení nařízení Evropského parlamentu a Rady (EU) č. 1007/2011 </w:t>
      </w:r>
      <w:r w:rsidRPr="0010703D">
        <w:rPr>
          <w:rFonts w:asciiTheme="minorHAnsi" w:hAnsiTheme="minorHAnsi" w:cstheme="minorHAnsi"/>
          <w:bCs/>
          <w:sz w:val="22"/>
          <w:szCs w:val="22"/>
        </w:rPr>
        <w:t xml:space="preserve">o názvech textilních vláken a souvisejícím označování materiálového složení textilních výrobků a o zrušení směrnice Rady 73/44/EHS a směrnic Evropského parlamentu a Rady 96/73/ES a 2008/121/ES </w:t>
      </w:r>
      <w:r w:rsidRPr="0010703D">
        <w:rPr>
          <w:rFonts w:asciiTheme="minorHAnsi" w:hAnsiTheme="minorHAnsi" w:cstheme="minorHAnsi"/>
          <w:sz w:val="22"/>
          <w:szCs w:val="22"/>
        </w:rPr>
        <w:t xml:space="preserve">a v 74 případech bylo kvalifikováno porušení dalších zákonů v dozorové kompetenci České obchodní inspekce. </w:t>
      </w:r>
    </w:p>
    <w:p w14:paraId="4A4C4A41" w14:textId="77777777" w:rsidR="0010703D" w:rsidRPr="0010703D" w:rsidRDefault="0010703D" w:rsidP="004512B2">
      <w:pPr>
        <w:shd w:val="clear" w:color="auto" w:fill="FFFFFF" w:themeFill="background1"/>
        <w:spacing w:before="120" w:after="120" w:line="276" w:lineRule="auto"/>
        <w:jc w:val="both"/>
        <w:rPr>
          <w:rFonts w:asciiTheme="minorHAnsi" w:hAnsiTheme="minorHAnsi" w:cstheme="minorHAnsi"/>
          <w:sz w:val="22"/>
          <w:szCs w:val="22"/>
        </w:rPr>
      </w:pPr>
      <w:r w:rsidRPr="0010703D">
        <w:rPr>
          <w:rFonts w:asciiTheme="minorHAnsi" w:hAnsiTheme="minorHAnsi" w:cstheme="minorHAnsi"/>
          <w:sz w:val="22"/>
          <w:szCs w:val="22"/>
        </w:rPr>
        <w:t>V některých kontrolních případech bylo zjištěno porušení více zákonů, resp. jednotlivých ustanovení, současně.</w:t>
      </w:r>
    </w:p>
    <w:p w14:paraId="6BC9860A" w14:textId="77777777" w:rsidR="0010703D" w:rsidRPr="0010703D" w:rsidRDefault="0010703D" w:rsidP="004512B2">
      <w:pPr>
        <w:spacing w:before="120" w:after="120" w:line="276" w:lineRule="auto"/>
        <w:jc w:val="both"/>
        <w:rPr>
          <w:rFonts w:asciiTheme="minorHAnsi" w:hAnsiTheme="minorHAnsi" w:cstheme="minorHAnsi"/>
          <w:b/>
          <w:sz w:val="22"/>
          <w:szCs w:val="22"/>
        </w:rPr>
      </w:pPr>
      <w:r w:rsidRPr="0010703D">
        <w:rPr>
          <w:rFonts w:asciiTheme="minorHAnsi" w:hAnsiTheme="minorHAnsi" w:cstheme="minorHAnsi"/>
          <w:b/>
          <w:sz w:val="22"/>
          <w:szCs w:val="22"/>
        </w:rPr>
        <w:t>Uložená opatření</w:t>
      </w:r>
    </w:p>
    <w:p w14:paraId="2D281316" w14:textId="77777777" w:rsidR="0010703D" w:rsidRPr="0010703D" w:rsidRDefault="0010703D" w:rsidP="004512B2">
      <w:pPr>
        <w:spacing w:before="120" w:after="120" w:line="276" w:lineRule="auto"/>
        <w:jc w:val="both"/>
        <w:rPr>
          <w:rFonts w:asciiTheme="minorHAnsi" w:hAnsiTheme="minorHAnsi" w:cstheme="minorHAnsi"/>
          <w:sz w:val="22"/>
          <w:szCs w:val="22"/>
        </w:rPr>
      </w:pPr>
      <w:r w:rsidRPr="0010703D">
        <w:rPr>
          <w:rFonts w:asciiTheme="minorHAnsi" w:hAnsiTheme="minorHAnsi" w:cstheme="minorHAnsi"/>
          <w:sz w:val="22"/>
          <w:szCs w:val="22"/>
        </w:rPr>
        <w:t>Česká obchodní inspekce v tomto období pravomocně uložila 2 175 pokut v celkové hodnotě 24 834 100 Kč. Pro porušení povinností stanovených zvláštními předpisy byl v rámci kontrolní akce uložen zákaz prodeje na 3 780 kusů výrobků v celkové hodnotě 204 642,70 Kč a zákaz používání na 287 kusů neověřených měřidel, která neodpovídala obecně závazným právním předpisům, technickým normám, jiným technickým předpisům, popřípadě schválenému typu.</w:t>
      </w:r>
    </w:p>
    <w:p w14:paraId="3C0F9C00" w14:textId="77777777" w:rsidR="0010703D" w:rsidRDefault="0010703D" w:rsidP="00C31D1D">
      <w:pPr>
        <w:spacing w:before="120" w:after="120" w:line="276" w:lineRule="auto"/>
        <w:jc w:val="both"/>
        <w:rPr>
          <w:rFonts w:asciiTheme="minorHAnsi" w:hAnsiTheme="minorHAnsi" w:cstheme="minorHAnsi"/>
          <w:sz w:val="22"/>
          <w:szCs w:val="22"/>
        </w:rPr>
      </w:pPr>
    </w:p>
    <w:sectPr w:rsidR="0010703D" w:rsidSect="00362969">
      <w:footerReference w:type="default" r:id="rId9"/>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52B61" w14:textId="77777777" w:rsidR="00866B14" w:rsidRDefault="00866B14" w:rsidP="00185D99">
      <w:r>
        <w:separator/>
      </w:r>
    </w:p>
  </w:endnote>
  <w:endnote w:type="continuationSeparator" w:id="0">
    <w:p w14:paraId="0B24468B" w14:textId="77777777" w:rsidR="00866B14" w:rsidRDefault="00866B14"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77777777" w:rsidR="00A16A5B" w:rsidRPr="00EC63A5" w:rsidRDefault="00E034CA" w:rsidP="00EC63A5">
    <w:pPr>
      <w:pStyle w:val="Zpat"/>
      <w:tabs>
        <w:tab w:val="clear" w:pos="4536"/>
        <w:tab w:val="left" w:pos="4500"/>
        <w:tab w:val="left" w:pos="5220"/>
      </w:tabs>
      <w:spacing w:line="240" w:lineRule="auto"/>
      <w:ind w:left="900" w:hanging="900"/>
      <w:rPr>
        <w:sz w:val="18"/>
        <w:szCs w:val="18"/>
      </w:rPr>
    </w:pPr>
    <w:r w:rsidRPr="00EC63A5">
      <w:rPr>
        <w:b/>
        <w:i/>
        <w:color w:val="808080"/>
        <w:sz w:val="18"/>
        <w:szCs w:val="18"/>
      </w:rPr>
      <w:t>K</w:t>
    </w:r>
    <w:r w:rsidR="00A16A5B" w:rsidRPr="00EC63A5">
      <w:rPr>
        <w:b/>
        <w:i/>
        <w:color w:val="808080"/>
        <w:sz w:val="18"/>
        <w:szCs w:val="18"/>
      </w:rPr>
      <w:t>ontakt:</w:t>
    </w:r>
    <w:r w:rsidR="00D7221A" w:rsidRPr="00EC63A5">
      <w:rPr>
        <w:b/>
        <w:i/>
        <w:color w:val="808080"/>
        <w:sz w:val="18"/>
        <w:szCs w:val="18"/>
      </w:rPr>
      <w:tab/>
    </w:r>
    <w:r w:rsidR="00D7221A" w:rsidRPr="00EC63A5">
      <w:rPr>
        <w:color w:val="808080"/>
        <w:sz w:val="18"/>
        <w:szCs w:val="18"/>
      </w:rPr>
      <w:t>tiskový mluvčí ČOI</w:t>
    </w:r>
    <w:r w:rsidR="00A16A5B" w:rsidRPr="00EC63A5">
      <w:rPr>
        <w:color w:val="808080"/>
        <w:sz w:val="18"/>
        <w:szCs w:val="18"/>
      </w:rPr>
      <w:tab/>
    </w:r>
    <w:r w:rsidR="00EC63A5">
      <w:rPr>
        <w:color w:val="808080"/>
        <w:sz w:val="18"/>
        <w:szCs w:val="18"/>
      </w:rPr>
      <w:t xml:space="preserve">     </w:t>
    </w:r>
    <w:r w:rsidR="00A16A5B" w:rsidRPr="00EC63A5">
      <w:rPr>
        <w:color w:val="808080"/>
        <w:sz w:val="18"/>
        <w:szCs w:val="18"/>
      </w:rPr>
      <w:t xml:space="preserve">                       </w:t>
    </w:r>
    <w:r w:rsidR="001E059D" w:rsidRPr="00EC63A5">
      <w:rPr>
        <w:color w:val="808080"/>
        <w:sz w:val="18"/>
        <w:szCs w:val="18"/>
      </w:rPr>
      <w:t xml:space="preserve">                        </w:t>
    </w:r>
    <w:r w:rsidR="00A16A5B" w:rsidRPr="00EC63A5">
      <w:rPr>
        <w:color w:val="808080"/>
        <w:sz w:val="18"/>
        <w:szCs w:val="18"/>
      </w:rPr>
      <w:t xml:space="preserve"> </w:t>
    </w:r>
    <w:r w:rsidR="00EC63A5" w:rsidRPr="00EC63A5">
      <w:rPr>
        <w:color w:val="808080"/>
        <w:sz w:val="18"/>
        <w:szCs w:val="18"/>
      </w:rPr>
      <w:t xml:space="preserve">       </w:t>
    </w:r>
    <w:r w:rsidR="00A16A5B" w:rsidRPr="00EC63A5">
      <w:rPr>
        <w:b/>
        <w:i/>
        <w:color w:val="808080"/>
        <w:sz w:val="18"/>
        <w:szCs w:val="18"/>
      </w:rPr>
      <w:t>Telefon:</w:t>
    </w:r>
    <w:r w:rsidR="00A16A5B" w:rsidRPr="00EC63A5">
      <w:rPr>
        <w:i/>
        <w:color w:val="808080"/>
        <w:sz w:val="18"/>
        <w:szCs w:val="18"/>
      </w:rPr>
      <w:tab/>
      <w:t>+420 296 366 </w:t>
    </w:r>
    <w:r w:rsidR="000C6921" w:rsidRPr="00EC63A5">
      <w:rPr>
        <w:i/>
        <w:color w:val="808080"/>
        <w:sz w:val="18"/>
        <w:szCs w:val="18"/>
      </w:rPr>
      <w:t>233</w:t>
    </w:r>
    <w:r w:rsidR="00A16A5B" w:rsidRPr="00EC63A5">
      <w:rPr>
        <w:i/>
        <w:color w:val="808080"/>
        <w:sz w:val="18"/>
        <w:szCs w:val="18"/>
      </w:rPr>
      <w:t xml:space="preserve">  </w:t>
    </w:r>
    <w:r w:rsidR="00A16A5B" w:rsidRPr="00EC63A5">
      <w:rPr>
        <w:color w:val="808080"/>
        <w:sz w:val="18"/>
        <w:szCs w:val="18"/>
      </w:rPr>
      <w:br/>
    </w:r>
    <w:r w:rsidR="000E41C7">
      <w:rPr>
        <w:color w:val="808080"/>
        <w:sz w:val="18"/>
        <w:szCs w:val="18"/>
      </w:rPr>
      <w:t xml:space="preserve">Ing. </w:t>
    </w:r>
    <w:r w:rsidR="00D7221A" w:rsidRPr="00EC63A5">
      <w:rPr>
        <w:color w:val="808080"/>
        <w:sz w:val="18"/>
        <w:szCs w:val="18"/>
      </w:rPr>
      <w:t>Mgr. Jiří Fröhlich</w:t>
    </w:r>
    <w:r w:rsidR="00A16A5B" w:rsidRPr="00EC63A5">
      <w:rPr>
        <w:i/>
        <w:color w:val="808080"/>
        <w:sz w:val="18"/>
        <w:szCs w:val="18"/>
      </w:rPr>
      <w:tab/>
      <w:t xml:space="preserve">                           </w:t>
    </w:r>
    <w:r w:rsidR="001E059D" w:rsidRPr="00EC63A5">
      <w:rPr>
        <w:i/>
        <w:color w:val="808080"/>
        <w:sz w:val="18"/>
        <w:szCs w:val="18"/>
      </w:rPr>
      <w:t xml:space="preserve">                         </w:t>
    </w:r>
    <w:r w:rsidR="00691EDB"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Mobil:</w:t>
    </w:r>
    <w:r w:rsidR="00A16A5B" w:rsidRPr="00EC63A5">
      <w:rPr>
        <w:i/>
        <w:color w:val="808080"/>
        <w:sz w:val="18"/>
        <w:szCs w:val="18"/>
      </w:rPr>
      <w:t xml:space="preserve"> </w:t>
    </w:r>
    <w:r w:rsidR="00A16A5B" w:rsidRPr="00EC63A5">
      <w:rPr>
        <w:i/>
        <w:color w:val="808080"/>
        <w:sz w:val="18"/>
        <w:szCs w:val="18"/>
      </w:rPr>
      <w:tab/>
      <w:t>+420</w:t>
    </w:r>
    <w:r w:rsidR="000C6921" w:rsidRPr="00EC63A5">
      <w:rPr>
        <w:i/>
        <w:color w:val="808080"/>
        <w:sz w:val="18"/>
        <w:szCs w:val="18"/>
      </w:rPr>
      <w:t> 602 105 376</w:t>
    </w:r>
    <w:r w:rsidR="00A16A5B" w:rsidRPr="00EC63A5">
      <w:rPr>
        <w:i/>
        <w:color w:val="808080"/>
        <w:sz w:val="18"/>
        <w:szCs w:val="18"/>
      </w:rPr>
      <w:br/>
    </w:r>
    <w:r w:rsidR="00A16A5B" w:rsidRPr="00EC63A5">
      <w:rPr>
        <w:i/>
        <w:color w:val="808080"/>
        <w:sz w:val="18"/>
        <w:szCs w:val="18"/>
      </w:rPr>
      <w:tab/>
      <w:t xml:space="preserve">                           </w:t>
    </w:r>
    <w:r w:rsidR="001E059D" w:rsidRPr="00EC63A5">
      <w:rPr>
        <w:i/>
        <w:color w:val="808080"/>
        <w:sz w:val="18"/>
        <w:szCs w:val="18"/>
      </w:rPr>
      <w:t xml:space="preserve">                        </w:t>
    </w:r>
    <w:r w:rsidR="00EC63A5" w:rsidRPr="00EC63A5">
      <w:rPr>
        <w:i/>
        <w:color w:val="808080"/>
        <w:sz w:val="18"/>
        <w:szCs w:val="18"/>
      </w:rPr>
      <w:t xml:space="preserve">         </w:t>
    </w:r>
    <w:r w:rsidR="00A16A5B" w:rsidRPr="00EC63A5">
      <w:rPr>
        <w:b/>
        <w:i/>
        <w:color w:val="808080"/>
        <w:sz w:val="18"/>
        <w:szCs w:val="18"/>
      </w:rPr>
      <w:t>E-mail:</w:t>
    </w:r>
    <w:r w:rsidR="00A16A5B" w:rsidRPr="00EC63A5">
      <w:rPr>
        <w:i/>
        <w:color w:val="808080"/>
        <w:sz w:val="18"/>
        <w:szCs w:val="18"/>
      </w:rPr>
      <w:tab/>
      <w:t>mluvci</w:t>
    </w:r>
    <w:r w:rsidR="00A16A5B" w:rsidRPr="00EC63A5">
      <w:rPr>
        <w:i/>
        <w:color w:val="808080"/>
        <w:sz w:val="18"/>
        <w:szCs w:val="18"/>
        <w:lang w:val="en-CA"/>
      </w:rPr>
      <w:t>@coi.cz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F1B9C" w14:textId="77777777" w:rsidR="00866B14" w:rsidRDefault="00866B14" w:rsidP="00185D99">
      <w:r>
        <w:separator/>
      </w:r>
    </w:p>
  </w:footnote>
  <w:footnote w:type="continuationSeparator" w:id="0">
    <w:p w14:paraId="4CF34743" w14:textId="77777777" w:rsidR="00866B14" w:rsidRDefault="00866B14"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372A1"/>
    <w:multiLevelType w:val="hybridMultilevel"/>
    <w:tmpl w:val="EF90E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CB38B2"/>
    <w:multiLevelType w:val="hybridMultilevel"/>
    <w:tmpl w:val="668EB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EE6540"/>
    <w:multiLevelType w:val="hybridMultilevel"/>
    <w:tmpl w:val="48901C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1D3794"/>
    <w:multiLevelType w:val="hybridMultilevel"/>
    <w:tmpl w:val="B0ECCF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C27599"/>
    <w:multiLevelType w:val="hybridMultilevel"/>
    <w:tmpl w:val="E2A677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BA3807"/>
    <w:multiLevelType w:val="hybridMultilevel"/>
    <w:tmpl w:val="43D25C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6E7042"/>
    <w:multiLevelType w:val="hybridMultilevel"/>
    <w:tmpl w:val="B34CD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4"/>
  </w:num>
  <w:num w:numId="4">
    <w:abstractNumId w:val="31"/>
  </w:num>
  <w:num w:numId="5">
    <w:abstractNumId w:val="36"/>
  </w:num>
  <w:num w:numId="6">
    <w:abstractNumId w:val="5"/>
  </w:num>
  <w:num w:numId="7">
    <w:abstractNumId w:val="13"/>
  </w:num>
  <w:num w:numId="8">
    <w:abstractNumId w:val="12"/>
  </w:num>
  <w:num w:numId="9">
    <w:abstractNumId w:val="34"/>
  </w:num>
  <w:num w:numId="10">
    <w:abstractNumId w:val="4"/>
  </w:num>
  <w:num w:numId="11">
    <w:abstractNumId w:val="23"/>
  </w:num>
  <w:num w:numId="12">
    <w:abstractNumId w:val="10"/>
  </w:num>
  <w:num w:numId="13">
    <w:abstractNumId w:val="27"/>
  </w:num>
  <w:num w:numId="14">
    <w:abstractNumId w:val="17"/>
  </w:num>
  <w:num w:numId="15">
    <w:abstractNumId w:val="25"/>
  </w:num>
  <w:num w:numId="16">
    <w:abstractNumId w:val="18"/>
  </w:num>
  <w:num w:numId="17">
    <w:abstractNumId w:val="18"/>
  </w:num>
  <w:num w:numId="18">
    <w:abstractNumId w:val="8"/>
  </w:num>
  <w:num w:numId="19">
    <w:abstractNumId w:val="41"/>
  </w:num>
  <w:num w:numId="20">
    <w:abstractNumId w:val="26"/>
  </w:num>
  <w:num w:numId="21">
    <w:abstractNumId w:val="22"/>
  </w:num>
  <w:num w:numId="22">
    <w:abstractNumId w:val="30"/>
  </w:num>
  <w:num w:numId="23">
    <w:abstractNumId w:val="21"/>
  </w:num>
  <w:num w:numId="24">
    <w:abstractNumId w:val="16"/>
  </w:num>
  <w:num w:numId="25">
    <w:abstractNumId w:val="3"/>
  </w:num>
  <w:num w:numId="26">
    <w:abstractNumId w:val="11"/>
  </w:num>
  <w:num w:numId="27">
    <w:abstractNumId w:val="6"/>
  </w:num>
  <w:num w:numId="28">
    <w:abstractNumId w:val="37"/>
  </w:num>
  <w:num w:numId="29">
    <w:abstractNumId w:val="24"/>
  </w:num>
  <w:num w:numId="30">
    <w:abstractNumId w:val="15"/>
  </w:num>
  <w:num w:numId="31">
    <w:abstractNumId w:val="39"/>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40"/>
  </w:num>
  <w:num w:numId="36">
    <w:abstractNumId w:val="38"/>
  </w:num>
  <w:num w:numId="37">
    <w:abstractNumId w:val="9"/>
  </w:num>
  <w:num w:numId="38">
    <w:abstractNumId w:val="0"/>
  </w:num>
  <w:num w:numId="39">
    <w:abstractNumId w:val="42"/>
  </w:num>
  <w:num w:numId="40">
    <w:abstractNumId w:val="29"/>
  </w:num>
  <w:num w:numId="41">
    <w:abstractNumId w:val="33"/>
  </w:num>
  <w:num w:numId="42">
    <w:abstractNumId w:val="7"/>
  </w:num>
  <w:num w:numId="43">
    <w:abstractNumId w:val="35"/>
  </w:num>
  <w:num w:numId="44">
    <w:abstractNumId w:val="43"/>
  </w:num>
  <w:num w:numId="45">
    <w:abstractNumId w:val="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01B6"/>
    <w:rsid w:val="000C63E8"/>
    <w:rsid w:val="000C6921"/>
    <w:rsid w:val="000C6A8B"/>
    <w:rsid w:val="000C706B"/>
    <w:rsid w:val="000D06D3"/>
    <w:rsid w:val="000D4265"/>
    <w:rsid w:val="000D7B47"/>
    <w:rsid w:val="000E03F8"/>
    <w:rsid w:val="000E12C9"/>
    <w:rsid w:val="000E3E07"/>
    <w:rsid w:val="000E41C7"/>
    <w:rsid w:val="000F08F9"/>
    <w:rsid w:val="000F16D1"/>
    <w:rsid w:val="000F28A8"/>
    <w:rsid w:val="000F2C0C"/>
    <w:rsid w:val="000F3BE8"/>
    <w:rsid w:val="000F52A6"/>
    <w:rsid w:val="00100B4B"/>
    <w:rsid w:val="0010412D"/>
    <w:rsid w:val="001053AB"/>
    <w:rsid w:val="0010703D"/>
    <w:rsid w:val="001140DC"/>
    <w:rsid w:val="0012106E"/>
    <w:rsid w:val="001224BB"/>
    <w:rsid w:val="001242CC"/>
    <w:rsid w:val="001271AA"/>
    <w:rsid w:val="00127737"/>
    <w:rsid w:val="0013173D"/>
    <w:rsid w:val="00135A96"/>
    <w:rsid w:val="00136ECC"/>
    <w:rsid w:val="00137876"/>
    <w:rsid w:val="00144E53"/>
    <w:rsid w:val="00146CDB"/>
    <w:rsid w:val="0015090F"/>
    <w:rsid w:val="001523F2"/>
    <w:rsid w:val="00153DBC"/>
    <w:rsid w:val="00160AE3"/>
    <w:rsid w:val="00162498"/>
    <w:rsid w:val="00165268"/>
    <w:rsid w:val="00166DBF"/>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1AD"/>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E742B"/>
    <w:rsid w:val="001F2255"/>
    <w:rsid w:val="001F28AD"/>
    <w:rsid w:val="001F59E2"/>
    <w:rsid w:val="001F6608"/>
    <w:rsid w:val="00204135"/>
    <w:rsid w:val="00205FD0"/>
    <w:rsid w:val="00206FBC"/>
    <w:rsid w:val="00210F85"/>
    <w:rsid w:val="00212094"/>
    <w:rsid w:val="00216362"/>
    <w:rsid w:val="00217F70"/>
    <w:rsid w:val="00221C3C"/>
    <w:rsid w:val="00223387"/>
    <w:rsid w:val="00227461"/>
    <w:rsid w:val="0024082F"/>
    <w:rsid w:val="002434A7"/>
    <w:rsid w:val="00244A3B"/>
    <w:rsid w:val="00246218"/>
    <w:rsid w:val="002516E7"/>
    <w:rsid w:val="00256358"/>
    <w:rsid w:val="00261259"/>
    <w:rsid w:val="00275730"/>
    <w:rsid w:val="00277452"/>
    <w:rsid w:val="00277C2B"/>
    <w:rsid w:val="00277DEC"/>
    <w:rsid w:val="0028582F"/>
    <w:rsid w:val="002932B7"/>
    <w:rsid w:val="00293D34"/>
    <w:rsid w:val="00294CF5"/>
    <w:rsid w:val="00295D58"/>
    <w:rsid w:val="002A05D6"/>
    <w:rsid w:val="002A21C3"/>
    <w:rsid w:val="002A41CA"/>
    <w:rsid w:val="002A4DAE"/>
    <w:rsid w:val="002C2A53"/>
    <w:rsid w:val="002C35EB"/>
    <w:rsid w:val="002C466F"/>
    <w:rsid w:val="002D029E"/>
    <w:rsid w:val="002D1BB4"/>
    <w:rsid w:val="002D2CC1"/>
    <w:rsid w:val="002D7F03"/>
    <w:rsid w:val="002D7FF7"/>
    <w:rsid w:val="002E6676"/>
    <w:rsid w:val="002F2629"/>
    <w:rsid w:val="002F75FB"/>
    <w:rsid w:val="00302618"/>
    <w:rsid w:val="00307823"/>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19"/>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E25"/>
    <w:rsid w:val="00445103"/>
    <w:rsid w:val="004471FF"/>
    <w:rsid w:val="004512B2"/>
    <w:rsid w:val="00452377"/>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1C9"/>
    <w:rsid w:val="004E6913"/>
    <w:rsid w:val="004F1273"/>
    <w:rsid w:val="004F1F51"/>
    <w:rsid w:val="004F2F98"/>
    <w:rsid w:val="004F338F"/>
    <w:rsid w:val="004F6CB3"/>
    <w:rsid w:val="00500DE9"/>
    <w:rsid w:val="00506BED"/>
    <w:rsid w:val="005119DF"/>
    <w:rsid w:val="00515929"/>
    <w:rsid w:val="00522BC6"/>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29D"/>
    <w:rsid w:val="0055744D"/>
    <w:rsid w:val="00561DF8"/>
    <w:rsid w:val="00562506"/>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5DFA"/>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07A3"/>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4CB3"/>
    <w:rsid w:val="00706C8F"/>
    <w:rsid w:val="007079EA"/>
    <w:rsid w:val="00715CAB"/>
    <w:rsid w:val="00721170"/>
    <w:rsid w:val="00721770"/>
    <w:rsid w:val="007220A0"/>
    <w:rsid w:val="00723C2D"/>
    <w:rsid w:val="0072480B"/>
    <w:rsid w:val="007248D6"/>
    <w:rsid w:val="00726157"/>
    <w:rsid w:val="00732A0D"/>
    <w:rsid w:val="007331D2"/>
    <w:rsid w:val="00740161"/>
    <w:rsid w:val="00741FC4"/>
    <w:rsid w:val="00750671"/>
    <w:rsid w:val="0076153E"/>
    <w:rsid w:val="007707EB"/>
    <w:rsid w:val="007778F1"/>
    <w:rsid w:val="007817AA"/>
    <w:rsid w:val="007951F0"/>
    <w:rsid w:val="007A0E66"/>
    <w:rsid w:val="007A5275"/>
    <w:rsid w:val="007A79BE"/>
    <w:rsid w:val="007B3F38"/>
    <w:rsid w:val="007C1891"/>
    <w:rsid w:val="007C22F5"/>
    <w:rsid w:val="007D13AB"/>
    <w:rsid w:val="007D1874"/>
    <w:rsid w:val="007D59C4"/>
    <w:rsid w:val="007E0B7D"/>
    <w:rsid w:val="007F0252"/>
    <w:rsid w:val="007F128C"/>
    <w:rsid w:val="007F248D"/>
    <w:rsid w:val="007F479B"/>
    <w:rsid w:val="007F568C"/>
    <w:rsid w:val="007F62FC"/>
    <w:rsid w:val="007F6453"/>
    <w:rsid w:val="007F6C55"/>
    <w:rsid w:val="007F7E4C"/>
    <w:rsid w:val="0080065C"/>
    <w:rsid w:val="008015A6"/>
    <w:rsid w:val="00801F8D"/>
    <w:rsid w:val="008049ED"/>
    <w:rsid w:val="008072AB"/>
    <w:rsid w:val="00811F54"/>
    <w:rsid w:val="00813930"/>
    <w:rsid w:val="00816630"/>
    <w:rsid w:val="00816D54"/>
    <w:rsid w:val="00830D1B"/>
    <w:rsid w:val="008440B8"/>
    <w:rsid w:val="00854465"/>
    <w:rsid w:val="008604D6"/>
    <w:rsid w:val="00861EB7"/>
    <w:rsid w:val="00863301"/>
    <w:rsid w:val="0086560F"/>
    <w:rsid w:val="00865B7B"/>
    <w:rsid w:val="00866B14"/>
    <w:rsid w:val="00867FD2"/>
    <w:rsid w:val="008744A8"/>
    <w:rsid w:val="008752C6"/>
    <w:rsid w:val="00877FEA"/>
    <w:rsid w:val="008823B4"/>
    <w:rsid w:val="0088321E"/>
    <w:rsid w:val="00884C64"/>
    <w:rsid w:val="00895F4C"/>
    <w:rsid w:val="008A2994"/>
    <w:rsid w:val="008A5E2B"/>
    <w:rsid w:val="008B5D1E"/>
    <w:rsid w:val="008C7414"/>
    <w:rsid w:val="008C7E0C"/>
    <w:rsid w:val="008D09CD"/>
    <w:rsid w:val="008E5905"/>
    <w:rsid w:val="008E698E"/>
    <w:rsid w:val="008F06D0"/>
    <w:rsid w:val="008F3354"/>
    <w:rsid w:val="008F4B9F"/>
    <w:rsid w:val="008F60EE"/>
    <w:rsid w:val="008F7988"/>
    <w:rsid w:val="00901553"/>
    <w:rsid w:val="00903B6C"/>
    <w:rsid w:val="00903ED7"/>
    <w:rsid w:val="00904EDB"/>
    <w:rsid w:val="009072AF"/>
    <w:rsid w:val="009078CF"/>
    <w:rsid w:val="00914E47"/>
    <w:rsid w:val="00915AFA"/>
    <w:rsid w:val="00920A06"/>
    <w:rsid w:val="00922296"/>
    <w:rsid w:val="009267F9"/>
    <w:rsid w:val="00926A50"/>
    <w:rsid w:val="009301E3"/>
    <w:rsid w:val="00932782"/>
    <w:rsid w:val="0093311E"/>
    <w:rsid w:val="009442A7"/>
    <w:rsid w:val="00945127"/>
    <w:rsid w:val="009471AB"/>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3054"/>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17960"/>
    <w:rsid w:val="00A208FD"/>
    <w:rsid w:val="00A27E5A"/>
    <w:rsid w:val="00A30919"/>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3AD6"/>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5B88"/>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15F33"/>
    <w:rsid w:val="00C2604F"/>
    <w:rsid w:val="00C30BD5"/>
    <w:rsid w:val="00C31D1D"/>
    <w:rsid w:val="00C343D2"/>
    <w:rsid w:val="00C358AB"/>
    <w:rsid w:val="00C42D4C"/>
    <w:rsid w:val="00C53EDB"/>
    <w:rsid w:val="00C54DF4"/>
    <w:rsid w:val="00C54FEF"/>
    <w:rsid w:val="00C56BB5"/>
    <w:rsid w:val="00C57E36"/>
    <w:rsid w:val="00C6042A"/>
    <w:rsid w:val="00C61364"/>
    <w:rsid w:val="00C61D98"/>
    <w:rsid w:val="00C63A6B"/>
    <w:rsid w:val="00C66F99"/>
    <w:rsid w:val="00C734F4"/>
    <w:rsid w:val="00C771F7"/>
    <w:rsid w:val="00C80179"/>
    <w:rsid w:val="00C81C10"/>
    <w:rsid w:val="00C825E2"/>
    <w:rsid w:val="00C82977"/>
    <w:rsid w:val="00C83E33"/>
    <w:rsid w:val="00C86024"/>
    <w:rsid w:val="00C86556"/>
    <w:rsid w:val="00C87D1C"/>
    <w:rsid w:val="00C91293"/>
    <w:rsid w:val="00C9230E"/>
    <w:rsid w:val="00C96268"/>
    <w:rsid w:val="00CA02DD"/>
    <w:rsid w:val="00CA17D9"/>
    <w:rsid w:val="00CA3299"/>
    <w:rsid w:val="00CA69A0"/>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1ECE"/>
    <w:rsid w:val="00D02517"/>
    <w:rsid w:val="00D02DD3"/>
    <w:rsid w:val="00D02F16"/>
    <w:rsid w:val="00D04AE8"/>
    <w:rsid w:val="00D068DA"/>
    <w:rsid w:val="00D10CF3"/>
    <w:rsid w:val="00D1125A"/>
    <w:rsid w:val="00D123EF"/>
    <w:rsid w:val="00D15FF6"/>
    <w:rsid w:val="00D22BA6"/>
    <w:rsid w:val="00D32AE9"/>
    <w:rsid w:val="00D34CF3"/>
    <w:rsid w:val="00D36978"/>
    <w:rsid w:val="00D52E04"/>
    <w:rsid w:val="00D7144E"/>
    <w:rsid w:val="00D7221A"/>
    <w:rsid w:val="00D73A91"/>
    <w:rsid w:val="00D74EB9"/>
    <w:rsid w:val="00D75CBD"/>
    <w:rsid w:val="00D75DD4"/>
    <w:rsid w:val="00D75E75"/>
    <w:rsid w:val="00D77104"/>
    <w:rsid w:val="00D80571"/>
    <w:rsid w:val="00D837A4"/>
    <w:rsid w:val="00D90B67"/>
    <w:rsid w:val="00D9208B"/>
    <w:rsid w:val="00D94DAB"/>
    <w:rsid w:val="00D95F20"/>
    <w:rsid w:val="00DA19B2"/>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37EF"/>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36CA"/>
    <w:rsid w:val="00F03B49"/>
    <w:rsid w:val="00F05BB5"/>
    <w:rsid w:val="00F063B7"/>
    <w:rsid w:val="00F13D02"/>
    <w:rsid w:val="00F14BE7"/>
    <w:rsid w:val="00F16A14"/>
    <w:rsid w:val="00F17F6E"/>
    <w:rsid w:val="00F204CA"/>
    <w:rsid w:val="00F23432"/>
    <w:rsid w:val="00F2569D"/>
    <w:rsid w:val="00F27EA4"/>
    <w:rsid w:val="00F32EDF"/>
    <w:rsid w:val="00F3674C"/>
    <w:rsid w:val="00F36DBF"/>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3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uiPriority w:val="99"/>
    <w:rsid w:val="00E37756"/>
    <w:rPr>
      <w:sz w:val="16"/>
      <w:szCs w:val="16"/>
    </w:rPr>
  </w:style>
  <w:style w:type="paragraph" w:styleId="Textkomente">
    <w:name w:val="annotation text"/>
    <w:basedOn w:val="Normln"/>
    <w:link w:val="TextkomenteChar"/>
    <w:uiPriority w:val="99"/>
    <w:rsid w:val="00E37756"/>
    <w:rPr>
      <w:sz w:val="20"/>
      <w:szCs w:val="20"/>
    </w:rPr>
  </w:style>
  <w:style w:type="character" w:customStyle="1" w:styleId="TextkomenteChar">
    <w:name w:val="Text komentáře Char"/>
    <w:basedOn w:val="Standardnpsmoodstavce"/>
    <w:link w:val="Textkomente"/>
    <w:uiPriority w:val="99"/>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 w:type="paragraph" w:customStyle="1" w:styleId="Default">
    <w:name w:val="Default"/>
    <w:rsid w:val="002C35E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6F7C-08FC-46E6-B3F9-21C22CD2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952</Words>
  <Characters>5619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Fröhlich Jiří, Mgr. Ing.</cp:lastModifiedBy>
  <cp:revision>29</cp:revision>
  <cp:lastPrinted>2020-03-20T08:49:00Z</cp:lastPrinted>
  <dcterms:created xsi:type="dcterms:W3CDTF">2021-01-30T20:30:00Z</dcterms:created>
  <dcterms:modified xsi:type="dcterms:W3CDTF">2021-03-26T08:44:00Z</dcterms:modified>
</cp:coreProperties>
</file>