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3085"/>
        <w:gridCol w:w="6127"/>
      </w:tblGrid>
      <w:tr w:rsidR="002D7F03" w:rsidRPr="002133ED" w14:paraId="47B791CE" w14:textId="77777777" w:rsidTr="002D7F03">
        <w:trPr>
          <w:trHeight w:val="907"/>
        </w:trPr>
        <w:tc>
          <w:tcPr>
            <w:tcW w:w="3085" w:type="dxa"/>
            <w:shd w:val="clear" w:color="auto" w:fill="auto"/>
          </w:tcPr>
          <w:p w14:paraId="09F54504" w14:textId="19D900EE" w:rsidR="002D7F03" w:rsidRPr="002133ED" w:rsidRDefault="008072AB" w:rsidP="002D7F03">
            <w:pPr>
              <w:rPr>
                <w:rFonts w:ascii="Calibri" w:hAnsi="Calibri"/>
                <w:lang w:val="en-GB"/>
              </w:rPr>
            </w:pPr>
            <w:r w:rsidRPr="002133ED">
              <w:rPr>
                <w:rFonts w:ascii="Calibri" w:hAnsi="Calibri"/>
                <w:noProof/>
                <w:lang w:val="en-GB"/>
              </w:rPr>
              <w:drawing>
                <wp:inline distT="0" distB="0" distL="0" distR="0" wp14:anchorId="26838B5C" wp14:editId="60618FDD">
                  <wp:extent cx="1911350" cy="5778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r="14830"/>
                          <a:stretch>
                            <a:fillRect/>
                          </a:stretch>
                        </pic:blipFill>
                        <pic:spPr bwMode="auto">
                          <a:xfrm>
                            <a:off x="0" y="0"/>
                            <a:ext cx="1911350" cy="577850"/>
                          </a:xfrm>
                          <a:prstGeom prst="rect">
                            <a:avLst/>
                          </a:prstGeom>
                          <a:noFill/>
                          <a:ln>
                            <a:noFill/>
                          </a:ln>
                        </pic:spPr>
                      </pic:pic>
                    </a:graphicData>
                  </a:graphic>
                </wp:inline>
              </w:drawing>
            </w:r>
          </w:p>
        </w:tc>
        <w:tc>
          <w:tcPr>
            <w:tcW w:w="6127" w:type="dxa"/>
            <w:shd w:val="clear" w:color="auto" w:fill="D9D9D9"/>
            <w:vAlign w:val="center"/>
          </w:tcPr>
          <w:p w14:paraId="21655697" w14:textId="00C7611D" w:rsidR="002D7F03" w:rsidRPr="002133ED" w:rsidRDefault="008D04CE" w:rsidP="002D7F03">
            <w:pPr>
              <w:jc w:val="center"/>
              <w:rPr>
                <w:rFonts w:ascii="Calibri" w:hAnsi="Calibri" w:cs="Arial"/>
                <w:b/>
                <w:sz w:val="56"/>
                <w:szCs w:val="56"/>
                <w:lang w:val="en-GB"/>
              </w:rPr>
            </w:pPr>
            <w:r w:rsidRPr="002133ED">
              <w:rPr>
                <w:rFonts w:ascii="Calibri" w:hAnsi="Calibri" w:cs="Arial"/>
                <w:b/>
                <w:sz w:val="56"/>
                <w:szCs w:val="56"/>
                <w:lang w:val="en-GB"/>
              </w:rPr>
              <w:t>PRESS RELEASE</w:t>
            </w:r>
          </w:p>
        </w:tc>
      </w:tr>
    </w:tbl>
    <w:p w14:paraId="68617974" w14:textId="77777777" w:rsidR="004E047A" w:rsidRPr="002133ED" w:rsidRDefault="004E047A" w:rsidP="00C54DF4">
      <w:pPr>
        <w:jc w:val="both"/>
        <w:rPr>
          <w:rFonts w:ascii="Calibri" w:hAnsi="Calibri"/>
          <w:sz w:val="22"/>
          <w:szCs w:val="22"/>
          <w:lang w:val="en-GB"/>
        </w:rPr>
      </w:pPr>
    </w:p>
    <w:p w14:paraId="759C14DC" w14:textId="74AA7639" w:rsidR="002C35EB" w:rsidRPr="002133ED" w:rsidRDefault="008D04CE" w:rsidP="00C31D1D">
      <w:pPr>
        <w:spacing w:before="120"/>
        <w:jc w:val="both"/>
        <w:rPr>
          <w:rFonts w:ascii="Calibri" w:hAnsi="Calibri" w:cs="Arial"/>
          <w:b/>
          <w:color w:val="0070C0"/>
          <w:sz w:val="32"/>
          <w:szCs w:val="32"/>
          <w:lang w:val="en-GB"/>
        </w:rPr>
      </w:pPr>
      <w:r w:rsidRPr="002133ED">
        <w:rPr>
          <w:rFonts w:ascii="Calibri" w:hAnsi="Calibri" w:cs="Arial"/>
          <w:b/>
          <w:color w:val="0070C0"/>
          <w:sz w:val="32"/>
          <w:szCs w:val="32"/>
          <w:lang w:val="en-GB"/>
        </w:rPr>
        <w:t>In 2020, CTIA proved</w:t>
      </w:r>
      <w:r w:rsidR="00507D5F">
        <w:rPr>
          <w:rFonts w:ascii="Calibri" w:hAnsi="Calibri" w:cs="Arial"/>
          <w:b/>
          <w:color w:val="0070C0"/>
          <w:sz w:val="32"/>
          <w:szCs w:val="32"/>
          <w:lang w:val="en-GB"/>
        </w:rPr>
        <w:t xml:space="preserve"> frequent</w:t>
      </w:r>
      <w:r w:rsidRPr="002133ED">
        <w:rPr>
          <w:rFonts w:ascii="Calibri" w:hAnsi="Calibri" w:cs="Arial"/>
          <w:b/>
          <w:color w:val="0070C0"/>
          <w:sz w:val="32"/>
          <w:szCs w:val="32"/>
          <w:lang w:val="en-GB"/>
        </w:rPr>
        <w:t xml:space="preserve"> sale of alcohol and tobacco to juveniles</w:t>
      </w:r>
    </w:p>
    <w:p w14:paraId="61C73405" w14:textId="4BF0542B" w:rsidR="00C31D1D" w:rsidRPr="002133ED" w:rsidRDefault="00C31D1D" w:rsidP="00C31D1D">
      <w:pPr>
        <w:spacing w:after="120"/>
        <w:jc w:val="both"/>
        <w:rPr>
          <w:rFonts w:asciiTheme="minorHAnsi" w:hAnsiTheme="minorHAnsi" w:cstheme="minorHAnsi"/>
          <w:i/>
          <w:sz w:val="22"/>
          <w:szCs w:val="22"/>
          <w:lang w:val="en-GB"/>
        </w:rPr>
      </w:pPr>
      <w:r w:rsidRPr="002133ED">
        <w:rPr>
          <w:rFonts w:asciiTheme="minorHAnsi" w:hAnsiTheme="minorHAnsi" w:cstheme="minorHAnsi"/>
          <w:i/>
          <w:sz w:val="22"/>
          <w:szCs w:val="22"/>
          <w:lang w:val="en-GB"/>
        </w:rPr>
        <w:t>(</w:t>
      </w:r>
      <w:r w:rsidR="008D04CE" w:rsidRPr="002133ED">
        <w:rPr>
          <w:rFonts w:asciiTheme="minorHAnsi" w:hAnsiTheme="minorHAnsi" w:cstheme="minorHAnsi"/>
          <w:i/>
          <w:sz w:val="22"/>
          <w:szCs w:val="22"/>
          <w:lang w:val="en-GB"/>
        </w:rPr>
        <w:t>Final report of</w:t>
      </w:r>
      <w:r w:rsidRPr="002133ED">
        <w:rPr>
          <w:rFonts w:asciiTheme="minorHAnsi" w:hAnsiTheme="minorHAnsi" w:cstheme="minorHAnsi"/>
          <w:i/>
          <w:sz w:val="22"/>
          <w:szCs w:val="22"/>
          <w:lang w:val="en-GB"/>
        </w:rPr>
        <w:t xml:space="preserve"> 2020)</w:t>
      </w:r>
    </w:p>
    <w:p w14:paraId="6C95FC8B" w14:textId="6368F6A8" w:rsidR="008D04CE" w:rsidRPr="002133ED" w:rsidRDefault="00AC5225" w:rsidP="008D04CE">
      <w:pPr>
        <w:spacing w:before="120" w:after="120" w:line="276" w:lineRule="auto"/>
        <w:jc w:val="both"/>
        <w:rPr>
          <w:rFonts w:asciiTheme="minorHAnsi" w:hAnsiTheme="minorHAnsi" w:cstheme="minorHAnsi"/>
          <w:b/>
          <w:sz w:val="22"/>
          <w:szCs w:val="22"/>
          <w:lang w:val="en-GB"/>
        </w:rPr>
      </w:pPr>
      <w:r w:rsidRPr="002133ED">
        <w:rPr>
          <w:rFonts w:asciiTheme="minorHAnsi" w:hAnsiTheme="minorHAnsi" w:cstheme="minorHAnsi"/>
          <w:b/>
          <w:i/>
          <w:sz w:val="22"/>
          <w:szCs w:val="22"/>
          <w:lang w:val="en-GB"/>
        </w:rPr>
        <w:t>(</w:t>
      </w:r>
      <w:r w:rsidR="0093311E" w:rsidRPr="002133ED">
        <w:rPr>
          <w:rFonts w:asciiTheme="minorHAnsi" w:hAnsiTheme="minorHAnsi" w:cstheme="minorHAnsi"/>
          <w:b/>
          <w:i/>
          <w:sz w:val="22"/>
          <w:szCs w:val="22"/>
          <w:lang w:val="en-GB"/>
        </w:rPr>
        <w:t>Pra</w:t>
      </w:r>
      <w:r w:rsidR="008D04CE" w:rsidRPr="002133ED">
        <w:rPr>
          <w:rFonts w:asciiTheme="minorHAnsi" w:hAnsiTheme="minorHAnsi" w:cstheme="minorHAnsi"/>
          <w:b/>
          <w:i/>
          <w:sz w:val="22"/>
          <w:szCs w:val="22"/>
          <w:lang w:val="en-GB"/>
        </w:rPr>
        <w:t>gue</w:t>
      </w:r>
      <w:r w:rsidR="001676F1" w:rsidRPr="002133ED">
        <w:rPr>
          <w:rFonts w:asciiTheme="minorHAnsi" w:hAnsiTheme="minorHAnsi" w:cstheme="minorHAnsi"/>
          <w:b/>
          <w:i/>
          <w:sz w:val="22"/>
          <w:szCs w:val="22"/>
          <w:lang w:val="en-GB"/>
        </w:rPr>
        <w:t>,</w:t>
      </w:r>
      <w:r w:rsidR="008D04CE" w:rsidRPr="002133ED">
        <w:rPr>
          <w:rFonts w:asciiTheme="minorHAnsi" w:hAnsiTheme="minorHAnsi" w:cstheme="minorHAnsi"/>
          <w:b/>
          <w:i/>
          <w:sz w:val="22"/>
          <w:szCs w:val="22"/>
          <w:lang w:val="en-GB"/>
        </w:rPr>
        <w:t xml:space="preserve"> 22</w:t>
      </w:r>
      <w:r w:rsidR="001676F1" w:rsidRPr="002133ED">
        <w:rPr>
          <w:rFonts w:asciiTheme="minorHAnsi" w:hAnsiTheme="minorHAnsi" w:cstheme="minorHAnsi"/>
          <w:b/>
          <w:i/>
          <w:sz w:val="22"/>
          <w:szCs w:val="22"/>
          <w:lang w:val="en-GB"/>
        </w:rPr>
        <w:t xml:space="preserve"> </w:t>
      </w:r>
      <w:proofErr w:type="gramStart"/>
      <w:r w:rsidR="008D04CE" w:rsidRPr="002133ED">
        <w:rPr>
          <w:rFonts w:asciiTheme="minorHAnsi" w:hAnsiTheme="minorHAnsi" w:cstheme="minorHAnsi"/>
          <w:b/>
          <w:i/>
          <w:sz w:val="22"/>
          <w:szCs w:val="22"/>
          <w:lang w:val="en-GB"/>
        </w:rPr>
        <w:t>March,</w:t>
      </w:r>
      <w:proofErr w:type="gramEnd"/>
      <w:r w:rsidR="00DA3444" w:rsidRPr="002133ED">
        <w:rPr>
          <w:rFonts w:asciiTheme="minorHAnsi" w:hAnsiTheme="minorHAnsi" w:cstheme="minorHAnsi"/>
          <w:b/>
          <w:i/>
          <w:sz w:val="22"/>
          <w:szCs w:val="22"/>
          <w:lang w:val="en-GB"/>
        </w:rPr>
        <w:t xml:space="preserve"> 202</w:t>
      </w:r>
      <w:r w:rsidR="000B5C40" w:rsidRPr="002133ED">
        <w:rPr>
          <w:rFonts w:asciiTheme="minorHAnsi" w:hAnsiTheme="minorHAnsi" w:cstheme="minorHAnsi"/>
          <w:b/>
          <w:i/>
          <w:sz w:val="22"/>
          <w:szCs w:val="22"/>
          <w:lang w:val="en-GB"/>
        </w:rPr>
        <w:t>1</w:t>
      </w:r>
      <w:r w:rsidR="00CE0241" w:rsidRPr="002133ED">
        <w:rPr>
          <w:rFonts w:asciiTheme="minorHAnsi" w:hAnsiTheme="minorHAnsi" w:cstheme="minorHAnsi"/>
          <w:b/>
          <w:i/>
          <w:sz w:val="22"/>
          <w:szCs w:val="22"/>
          <w:lang w:val="en-GB"/>
        </w:rPr>
        <w:t>)</w:t>
      </w:r>
      <w:r w:rsidRPr="002133ED">
        <w:rPr>
          <w:rFonts w:asciiTheme="minorHAnsi" w:hAnsiTheme="minorHAnsi" w:cstheme="minorHAnsi"/>
          <w:b/>
          <w:sz w:val="22"/>
          <w:szCs w:val="22"/>
          <w:lang w:val="en-GB"/>
        </w:rPr>
        <w:t xml:space="preserve"> </w:t>
      </w:r>
      <w:r w:rsidR="008D04CE" w:rsidRPr="002133ED">
        <w:rPr>
          <w:rFonts w:asciiTheme="minorHAnsi" w:hAnsiTheme="minorHAnsi" w:cstheme="minorHAnsi"/>
          <w:b/>
          <w:sz w:val="22"/>
          <w:szCs w:val="22"/>
          <w:lang w:val="en-GB"/>
        </w:rPr>
        <w:t xml:space="preserve">The Czech Trade Inspection Authority evaluated inspections of compliance with legal regulations within the sale of alcohol and tobacco. During 2020, it carried out </w:t>
      </w:r>
      <w:proofErr w:type="gramStart"/>
      <w:r w:rsidR="008D04CE" w:rsidRPr="002133ED">
        <w:rPr>
          <w:rFonts w:asciiTheme="minorHAnsi" w:hAnsiTheme="minorHAnsi" w:cstheme="minorHAnsi"/>
          <w:b/>
          <w:sz w:val="22"/>
          <w:szCs w:val="22"/>
          <w:lang w:val="en-GB"/>
        </w:rPr>
        <w:t>a total of 5,382</w:t>
      </w:r>
      <w:proofErr w:type="gramEnd"/>
      <w:r w:rsidR="008D04CE" w:rsidRPr="002133ED">
        <w:rPr>
          <w:rFonts w:asciiTheme="minorHAnsi" w:hAnsiTheme="minorHAnsi" w:cstheme="minorHAnsi"/>
          <w:b/>
          <w:sz w:val="22"/>
          <w:szCs w:val="22"/>
          <w:lang w:val="en-GB"/>
        </w:rPr>
        <w:t xml:space="preserve"> inspections and found violations in almost 44%. </w:t>
      </w:r>
      <w:r w:rsidR="008D04CE" w:rsidRPr="002133ED">
        <w:rPr>
          <w:rFonts w:asciiTheme="minorHAnsi" w:hAnsiTheme="minorHAnsi" w:cstheme="minorHAnsi"/>
          <w:b/>
          <w:i/>
          <w:sz w:val="22"/>
          <w:szCs w:val="22"/>
          <w:lang w:val="en-GB"/>
        </w:rPr>
        <w:t xml:space="preserve">"Frequent breaches of the ban on the sale or serving of alcoholic beverages to persons under the age of 18, which were detected in 171 of 237 inspections with figurants, can be considered particularly serious. It is therefore clear that it is not a problem for persons under the age of 18 to purchase alcoholic beverages in the market network. Due to the high level of health risk posed by the consumption of alcoholic beverages especially </w:t>
      </w:r>
      <w:r w:rsidR="002133ED">
        <w:rPr>
          <w:rFonts w:asciiTheme="minorHAnsi" w:hAnsiTheme="minorHAnsi" w:cstheme="minorHAnsi"/>
          <w:b/>
          <w:i/>
          <w:sz w:val="22"/>
          <w:szCs w:val="22"/>
          <w:lang w:val="en-GB"/>
        </w:rPr>
        <w:t>to juve</w:t>
      </w:r>
      <w:r w:rsidR="008D04CE" w:rsidRPr="002133ED">
        <w:rPr>
          <w:rFonts w:asciiTheme="minorHAnsi" w:hAnsiTheme="minorHAnsi" w:cstheme="minorHAnsi"/>
          <w:b/>
          <w:i/>
          <w:sz w:val="22"/>
          <w:szCs w:val="22"/>
          <w:lang w:val="en-GB"/>
        </w:rPr>
        <w:t>n</w:t>
      </w:r>
      <w:r w:rsidR="002133ED">
        <w:rPr>
          <w:rFonts w:asciiTheme="minorHAnsi" w:hAnsiTheme="minorHAnsi" w:cstheme="minorHAnsi"/>
          <w:b/>
          <w:i/>
          <w:sz w:val="22"/>
          <w:szCs w:val="22"/>
          <w:lang w:val="en-GB"/>
        </w:rPr>
        <w:t>il</w:t>
      </w:r>
      <w:r w:rsidR="008D04CE" w:rsidRPr="002133ED">
        <w:rPr>
          <w:rFonts w:asciiTheme="minorHAnsi" w:hAnsiTheme="minorHAnsi" w:cstheme="minorHAnsi"/>
          <w:b/>
          <w:i/>
          <w:sz w:val="22"/>
          <w:szCs w:val="22"/>
          <w:lang w:val="en-GB"/>
        </w:rPr>
        <w:t>es, the Czech Trade Inspection Authority will continue these inspections in 2021,"</w:t>
      </w:r>
      <w:r w:rsidR="008D04CE" w:rsidRPr="002133ED">
        <w:rPr>
          <w:rFonts w:asciiTheme="minorHAnsi" w:hAnsiTheme="minorHAnsi" w:cstheme="minorHAnsi"/>
          <w:b/>
          <w:sz w:val="22"/>
          <w:szCs w:val="22"/>
          <w:lang w:val="en-GB"/>
        </w:rPr>
        <w:t xml:space="preserve"> says </w:t>
      </w:r>
      <w:proofErr w:type="spellStart"/>
      <w:r w:rsidR="008D04CE" w:rsidRPr="002133ED">
        <w:rPr>
          <w:rFonts w:asciiTheme="minorHAnsi" w:hAnsiTheme="minorHAnsi" w:cstheme="minorHAnsi"/>
          <w:b/>
          <w:sz w:val="22"/>
          <w:szCs w:val="22"/>
          <w:lang w:val="en-GB"/>
        </w:rPr>
        <w:t>Mojmír</w:t>
      </w:r>
      <w:proofErr w:type="spellEnd"/>
      <w:r w:rsidR="008D04CE" w:rsidRPr="002133ED">
        <w:rPr>
          <w:rFonts w:asciiTheme="minorHAnsi" w:hAnsiTheme="minorHAnsi" w:cstheme="minorHAnsi"/>
          <w:b/>
          <w:sz w:val="22"/>
          <w:szCs w:val="22"/>
          <w:lang w:val="en-GB"/>
        </w:rPr>
        <w:t xml:space="preserve"> </w:t>
      </w:r>
      <w:proofErr w:type="spellStart"/>
      <w:r w:rsidR="008D04CE" w:rsidRPr="002133ED">
        <w:rPr>
          <w:rFonts w:asciiTheme="minorHAnsi" w:hAnsiTheme="minorHAnsi" w:cstheme="minorHAnsi"/>
          <w:b/>
          <w:sz w:val="22"/>
          <w:szCs w:val="22"/>
          <w:lang w:val="en-GB"/>
        </w:rPr>
        <w:t>Bezecný</w:t>
      </w:r>
      <w:proofErr w:type="spellEnd"/>
      <w:r w:rsidR="008D04CE" w:rsidRPr="002133ED">
        <w:rPr>
          <w:rFonts w:asciiTheme="minorHAnsi" w:hAnsiTheme="minorHAnsi" w:cstheme="minorHAnsi"/>
          <w:b/>
          <w:sz w:val="22"/>
          <w:szCs w:val="22"/>
          <w:lang w:val="en-GB"/>
        </w:rPr>
        <w:t>, Director of the Czech Trade Inspection Authority, on the conclusions of the inspections.</w:t>
      </w:r>
    </w:p>
    <w:p w14:paraId="469CC2E3" w14:textId="5AE8A0C1" w:rsidR="008D04CE" w:rsidRPr="002133ED" w:rsidRDefault="008D04CE" w:rsidP="008D04CE">
      <w:pPr>
        <w:spacing w:before="120" w:after="120" w:line="276" w:lineRule="auto"/>
        <w:jc w:val="both"/>
        <w:rPr>
          <w:rFonts w:asciiTheme="minorHAnsi" w:hAnsiTheme="minorHAnsi" w:cstheme="minorHAnsi"/>
          <w:sz w:val="22"/>
          <w:szCs w:val="22"/>
          <w:lang w:val="en-GB"/>
        </w:rPr>
      </w:pPr>
      <w:r w:rsidRPr="002133ED">
        <w:rPr>
          <w:rFonts w:asciiTheme="minorHAnsi" w:hAnsiTheme="minorHAnsi" w:cstheme="minorHAnsi"/>
          <w:sz w:val="22"/>
          <w:szCs w:val="22"/>
          <w:lang w:val="en-GB"/>
        </w:rPr>
        <w:t xml:space="preserve">Between 2 January and 31 December 2020, the Czech Trade Inspection Authority carried out 5,382 inspections aimed at the offer, sale and storage of alcoholic beverages and tobacco products. </w:t>
      </w:r>
      <w:proofErr w:type="gramStart"/>
      <w:r w:rsidRPr="002133ED">
        <w:rPr>
          <w:rFonts w:asciiTheme="minorHAnsi" w:hAnsiTheme="minorHAnsi" w:cstheme="minorHAnsi"/>
          <w:sz w:val="22"/>
          <w:szCs w:val="22"/>
          <w:lang w:val="en-GB"/>
        </w:rPr>
        <w:t>The aim of the inspection action was to inspect the compliance with the legislation regulating the offer, sale and storage of alcoholic beverages and tobacco products, in particular Act No. 65/2017 Coll., on Health Protection from the Harmful Effects of Drugs, Act No. 307/2013 Coll., on Mandatory Labelling of Spirits, and Act No. 353/2003 Coll., on Excise Duties.</w:t>
      </w:r>
      <w:proofErr w:type="gramEnd"/>
      <w:r w:rsidRPr="002133ED">
        <w:rPr>
          <w:rFonts w:asciiTheme="minorHAnsi" w:hAnsiTheme="minorHAnsi" w:cstheme="minorHAnsi"/>
          <w:sz w:val="22"/>
          <w:szCs w:val="22"/>
          <w:lang w:val="en-GB"/>
        </w:rPr>
        <w:t xml:space="preserve"> Furthermore, Act No. 634/1992 Coll., on Consumer Protection, </w:t>
      </w:r>
      <w:proofErr w:type="gramStart"/>
      <w:r w:rsidRPr="002133ED">
        <w:rPr>
          <w:rFonts w:asciiTheme="minorHAnsi" w:hAnsiTheme="minorHAnsi" w:cstheme="minorHAnsi"/>
          <w:sz w:val="22"/>
          <w:szCs w:val="22"/>
          <w:lang w:val="en-GB"/>
        </w:rPr>
        <w:t>was inspected</w:t>
      </w:r>
      <w:proofErr w:type="gramEnd"/>
      <w:r w:rsidRPr="002133ED">
        <w:rPr>
          <w:rFonts w:asciiTheme="minorHAnsi" w:hAnsiTheme="minorHAnsi" w:cstheme="minorHAnsi"/>
          <w:sz w:val="22"/>
          <w:szCs w:val="22"/>
          <w:lang w:val="en-GB"/>
        </w:rPr>
        <w:t>.</w:t>
      </w:r>
    </w:p>
    <w:p w14:paraId="7BF0A59B" w14:textId="45B98588" w:rsidR="008D04CE" w:rsidRPr="002133ED" w:rsidRDefault="008D04CE" w:rsidP="008D04CE">
      <w:pPr>
        <w:spacing w:before="120" w:after="120" w:line="276" w:lineRule="auto"/>
        <w:jc w:val="both"/>
        <w:rPr>
          <w:rFonts w:asciiTheme="minorHAnsi" w:hAnsiTheme="minorHAnsi" w:cstheme="minorHAnsi"/>
          <w:sz w:val="22"/>
          <w:szCs w:val="22"/>
          <w:lang w:val="en-GB"/>
        </w:rPr>
      </w:pPr>
      <w:r w:rsidRPr="002133ED">
        <w:rPr>
          <w:rFonts w:asciiTheme="minorHAnsi" w:hAnsiTheme="minorHAnsi" w:cstheme="minorHAnsi"/>
          <w:sz w:val="22"/>
          <w:szCs w:val="22"/>
          <w:lang w:val="en-GB"/>
        </w:rPr>
        <w:t xml:space="preserve">Violation of any of the provisions of Act No. 65/2017 Coll., on Health Protection from the Harmful Effects of Drugs, </w:t>
      </w:r>
      <w:proofErr w:type="gramStart"/>
      <w:r w:rsidRPr="002133ED">
        <w:rPr>
          <w:rFonts w:asciiTheme="minorHAnsi" w:hAnsiTheme="minorHAnsi" w:cstheme="minorHAnsi"/>
          <w:sz w:val="22"/>
          <w:szCs w:val="22"/>
          <w:lang w:val="en-GB"/>
        </w:rPr>
        <w:t>was detected</w:t>
      </w:r>
      <w:proofErr w:type="gramEnd"/>
      <w:r w:rsidRPr="002133ED">
        <w:rPr>
          <w:rFonts w:asciiTheme="minorHAnsi" w:hAnsiTheme="minorHAnsi" w:cstheme="minorHAnsi"/>
          <w:sz w:val="22"/>
          <w:szCs w:val="22"/>
          <w:lang w:val="en-GB"/>
        </w:rPr>
        <w:t xml:space="preserve"> in 288 cases.</w:t>
      </w:r>
    </w:p>
    <w:p w14:paraId="5A0E2105" w14:textId="77777777" w:rsidR="008D04CE" w:rsidRPr="002133ED" w:rsidRDefault="008D04CE" w:rsidP="008D04CE">
      <w:pPr>
        <w:spacing w:before="120" w:after="120" w:line="276" w:lineRule="auto"/>
        <w:jc w:val="both"/>
        <w:rPr>
          <w:rFonts w:asciiTheme="minorHAnsi" w:hAnsiTheme="minorHAnsi" w:cstheme="minorHAnsi"/>
          <w:sz w:val="22"/>
          <w:szCs w:val="22"/>
          <w:lang w:val="en-GB"/>
        </w:rPr>
      </w:pPr>
      <w:r w:rsidRPr="002133ED">
        <w:rPr>
          <w:rFonts w:asciiTheme="minorHAnsi" w:hAnsiTheme="minorHAnsi" w:cstheme="minorHAnsi"/>
          <w:sz w:val="22"/>
          <w:szCs w:val="22"/>
          <w:lang w:val="en-GB"/>
        </w:rPr>
        <w:t xml:space="preserve">Violation of Act No. 353/2003 Coll., on Excise Duties, was qualified in </w:t>
      </w:r>
      <w:proofErr w:type="gramStart"/>
      <w:r w:rsidRPr="002133ED">
        <w:rPr>
          <w:rFonts w:asciiTheme="minorHAnsi" w:hAnsiTheme="minorHAnsi" w:cstheme="minorHAnsi"/>
          <w:sz w:val="22"/>
          <w:szCs w:val="22"/>
          <w:lang w:val="en-GB"/>
        </w:rPr>
        <w:t>6</w:t>
      </w:r>
      <w:proofErr w:type="gramEnd"/>
      <w:r w:rsidRPr="002133ED">
        <w:rPr>
          <w:rFonts w:asciiTheme="minorHAnsi" w:hAnsiTheme="minorHAnsi" w:cstheme="minorHAnsi"/>
          <w:sz w:val="22"/>
          <w:szCs w:val="22"/>
          <w:lang w:val="en-GB"/>
        </w:rPr>
        <w:t xml:space="preserve"> cases.</w:t>
      </w:r>
    </w:p>
    <w:p w14:paraId="13A3F6BE" w14:textId="3ABB83CC" w:rsidR="008D04CE" w:rsidRPr="002133ED" w:rsidRDefault="008D04CE" w:rsidP="008D04CE">
      <w:pPr>
        <w:spacing w:before="120" w:after="120" w:line="276" w:lineRule="auto"/>
        <w:jc w:val="both"/>
        <w:rPr>
          <w:rFonts w:asciiTheme="minorHAnsi" w:hAnsiTheme="minorHAnsi" w:cstheme="minorHAnsi"/>
          <w:sz w:val="22"/>
          <w:szCs w:val="22"/>
          <w:lang w:val="en-GB"/>
        </w:rPr>
      </w:pPr>
      <w:r w:rsidRPr="002133ED">
        <w:rPr>
          <w:rFonts w:asciiTheme="minorHAnsi" w:hAnsiTheme="minorHAnsi" w:cstheme="minorHAnsi"/>
          <w:sz w:val="22"/>
          <w:szCs w:val="22"/>
          <w:lang w:val="en-GB"/>
        </w:rPr>
        <w:t>Traders violated law in 2,329 inspections, which was 43.3% of all 5,382 inspections carried out.</w:t>
      </w:r>
    </w:p>
    <w:p w14:paraId="42491282" w14:textId="569A7D3B" w:rsidR="008D04CE" w:rsidRPr="002133ED" w:rsidRDefault="008D04CE" w:rsidP="008D04CE">
      <w:pPr>
        <w:spacing w:before="120" w:after="120" w:line="276" w:lineRule="auto"/>
        <w:jc w:val="both"/>
        <w:rPr>
          <w:rFonts w:asciiTheme="minorHAnsi" w:hAnsiTheme="minorHAnsi" w:cstheme="minorHAnsi"/>
          <w:sz w:val="22"/>
          <w:szCs w:val="22"/>
          <w:u w:val="single"/>
          <w:lang w:val="en-GB"/>
        </w:rPr>
      </w:pPr>
      <w:r w:rsidRPr="002133ED">
        <w:rPr>
          <w:rFonts w:asciiTheme="minorHAnsi" w:hAnsiTheme="minorHAnsi" w:cstheme="minorHAnsi"/>
          <w:sz w:val="22"/>
          <w:szCs w:val="22"/>
          <w:u w:val="single"/>
          <w:lang w:val="en-GB"/>
        </w:rPr>
        <w:t xml:space="preserve">Within the inspection action, persons under the age of 18 </w:t>
      </w:r>
      <w:proofErr w:type="gramStart"/>
      <w:r w:rsidRPr="002133ED">
        <w:rPr>
          <w:rFonts w:asciiTheme="minorHAnsi" w:hAnsiTheme="minorHAnsi" w:cstheme="minorHAnsi"/>
          <w:sz w:val="22"/>
          <w:szCs w:val="22"/>
          <w:u w:val="single"/>
          <w:lang w:val="en-GB"/>
        </w:rPr>
        <w:t>were invited</w:t>
      </w:r>
      <w:proofErr w:type="gramEnd"/>
      <w:r w:rsidRPr="002133ED">
        <w:rPr>
          <w:rFonts w:asciiTheme="minorHAnsi" w:hAnsiTheme="minorHAnsi" w:cstheme="minorHAnsi"/>
          <w:sz w:val="22"/>
          <w:szCs w:val="22"/>
          <w:u w:val="single"/>
          <w:lang w:val="en-GB"/>
        </w:rPr>
        <w:t xml:space="preserve"> to 237 inspections. Sales of alcoholic beverages to persons under the age of 18 </w:t>
      </w:r>
      <w:proofErr w:type="gramStart"/>
      <w:r w:rsidRPr="002133ED">
        <w:rPr>
          <w:rFonts w:asciiTheme="minorHAnsi" w:hAnsiTheme="minorHAnsi" w:cstheme="minorHAnsi"/>
          <w:sz w:val="22"/>
          <w:szCs w:val="22"/>
          <w:u w:val="single"/>
          <w:lang w:val="en-GB"/>
        </w:rPr>
        <w:t>were found</w:t>
      </w:r>
      <w:proofErr w:type="gramEnd"/>
      <w:r w:rsidRPr="002133ED">
        <w:rPr>
          <w:rFonts w:asciiTheme="minorHAnsi" w:hAnsiTheme="minorHAnsi" w:cstheme="minorHAnsi"/>
          <w:sz w:val="22"/>
          <w:szCs w:val="22"/>
          <w:u w:val="single"/>
          <w:lang w:val="en-GB"/>
        </w:rPr>
        <w:t xml:space="preserve"> in 171 cases.</w:t>
      </w:r>
    </w:p>
    <w:p w14:paraId="0857CD3D" w14:textId="446F773C" w:rsidR="008D04CE" w:rsidRPr="002133ED" w:rsidRDefault="008D04CE" w:rsidP="008D04CE">
      <w:pPr>
        <w:spacing w:before="120" w:after="120" w:line="276" w:lineRule="auto"/>
        <w:jc w:val="both"/>
        <w:rPr>
          <w:rFonts w:asciiTheme="minorHAnsi" w:hAnsiTheme="minorHAnsi" w:cstheme="minorHAnsi"/>
          <w:sz w:val="22"/>
          <w:szCs w:val="22"/>
          <w:lang w:val="en-GB"/>
        </w:rPr>
      </w:pPr>
      <w:proofErr w:type="gramStart"/>
      <w:r w:rsidRPr="002133ED">
        <w:rPr>
          <w:rFonts w:asciiTheme="minorHAnsi" w:hAnsiTheme="minorHAnsi" w:cstheme="minorHAnsi"/>
          <w:sz w:val="22"/>
          <w:szCs w:val="22"/>
          <w:lang w:val="en-GB"/>
        </w:rPr>
        <w:t>The CTIA also cooperated with state administration authorities during these inspections, where 91 inspections were carried out with the participation of the Police of the Czech Republic, 122 inspections were in cooperation with the employees of trade li</w:t>
      </w:r>
      <w:bookmarkStart w:id="0" w:name="_GoBack"/>
      <w:bookmarkEnd w:id="0"/>
      <w:r w:rsidRPr="002133ED">
        <w:rPr>
          <w:rFonts w:asciiTheme="minorHAnsi" w:hAnsiTheme="minorHAnsi" w:cstheme="minorHAnsi"/>
          <w:sz w:val="22"/>
          <w:szCs w:val="22"/>
          <w:lang w:val="en-GB"/>
        </w:rPr>
        <w:t>censing offices, 26 inspections in cooperation with members of the Fire Rescue Service of the Czech Republic, 1 inspection in cooperation with the Czech Environmental Inspectorate, as well as 1 inspection in cooperation with the hygiene station.</w:t>
      </w:r>
      <w:proofErr w:type="gramEnd"/>
    </w:p>
    <w:p w14:paraId="40634ABD" w14:textId="2B693FA1" w:rsidR="008D04CE" w:rsidRPr="002133ED" w:rsidRDefault="008D04CE" w:rsidP="008D04CE">
      <w:pPr>
        <w:spacing w:before="120" w:after="120" w:line="276" w:lineRule="auto"/>
        <w:jc w:val="both"/>
        <w:rPr>
          <w:rFonts w:asciiTheme="minorHAnsi" w:hAnsiTheme="minorHAnsi" w:cstheme="minorHAnsi"/>
          <w:sz w:val="22"/>
          <w:szCs w:val="22"/>
          <w:lang w:val="en-GB"/>
        </w:rPr>
      </w:pPr>
      <w:r w:rsidRPr="002133ED">
        <w:rPr>
          <w:rFonts w:asciiTheme="minorHAnsi" w:hAnsiTheme="minorHAnsi" w:cstheme="minorHAnsi"/>
          <w:sz w:val="22"/>
          <w:szCs w:val="22"/>
          <w:lang w:val="en-GB"/>
        </w:rPr>
        <w:lastRenderedPageBreak/>
        <w:t xml:space="preserve">The Czech Trade Inspection Authority </w:t>
      </w:r>
      <w:proofErr w:type="gramStart"/>
      <w:r w:rsidRPr="002133ED">
        <w:rPr>
          <w:rFonts w:asciiTheme="minorHAnsi" w:hAnsiTheme="minorHAnsi" w:cstheme="minorHAnsi"/>
          <w:sz w:val="22"/>
          <w:szCs w:val="22"/>
          <w:lang w:val="en-GB"/>
        </w:rPr>
        <w:t>was influenced</w:t>
      </w:r>
      <w:proofErr w:type="gramEnd"/>
      <w:r w:rsidRPr="002133ED">
        <w:rPr>
          <w:rFonts w:asciiTheme="minorHAnsi" w:hAnsiTheme="minorHAnsi" w:cstheme="minorHAnsi"/>
          <w:sz w:val="22"/>
          <w:szCs w:val="22"/>
          <w:lang w:val="en-GB"/>
        </w:rPr>
        <w:t xml:space="preserve"> in its activities by the epidemiological situation and related measures of the Government of the Czech Republic, which in 2020 had an impact on the reduction of the number of inspections carried out.</w:t>
      </w:r>
    </w:p>
    <w:p w14:paraId="7E9EE656" w14:textId="77777777" w:rsidR="004512B2" w:rsidRPr="002133ED" w:rsidRDefault="004512B2" w:rsidP="004512B2">
      <w:pPr>
        <w:spacing w:after="120"/>
        <w:contextualSpacing/>
        <w:jc w:val="both"/>
        <w:rPr>
          <w:rFonts w:asciiTheme="minorHAnsi" w:hAnsiTheme="minorHAnsi" w:cstheme="minorHAnsi"/>
          <w:sz w:val="20"/>
          <w:szCs w:val="20"/>
          <w:lang w:val="en-GB"/>
        </w:rPr>
      </w:pPr>
    </w:p>
    <w:tbl>
      <w:tblPr>
        <w:tblW w:w="9067" w:type="dxa"/>
        <w:tblCellMar>
          <w:left w:w="70" w:type="dxa"/>
          <w:right w:w="70" w:type="dxa"/>
        </w:tblCellMar>
        <w:tblLook w:val="04A0" w:firstRow="1" w:lastRow="0" w:firstColumn="1" w:lastColumn="0" w:noHBand="0" w:noVBand="1"/>
      </w:tblPr>
      <w:tblGrid>
        <w:gridCol w:w="3397"/>
        <w:gridCol w:w="1775"/>
        <w:gridCol w:w="1889"/>
        <w:gridCol w:w="2006"/>
      </w:tblGrid>
      <w:tr w:rsidR="004512B2" w:rsidRPr="002133ED" w14:paraId="0342D63F" w14:textId="77777777" w:rsidTr="00894821">
        <w:trPr>
          <w:trHeight w:val="309"/>
        </w:trPr>
        <w:tc>
          <w:tcPr>
            <w:tcW w:w="3397" w:type="dxa"/>
            <w:vMerge w:val="restart"/>
            <w:tcBorders>
              <w:top w:val="single" w:sz="4" w:space="0" w:color="auto"/>
              <w:left w:val="single" w:sz="4" w:space="0" w:color="auto"/>
              <w:bottom w:val="double" w:sz="6" w:space="0" w:color="000000"/>
              <w:right w:val="single" w:sz="4" w:space="0" w:color="auto"/>
            </w:tcBorders>
            <w:shd w:val="clear" w:color="000000" w:fill="C5D9F1"/>
            <w:noWrap/>
            <w:vAlign w:val="center"/>
            <w:hideMark/>
          </w:tcPr>
          <w:p w14:paraId="30F763BC" w14:textId="5B68569F" w:rsidR="004512B2" w:rsidRPr="002133ED" w:rsidRDefault="00894821" w:rsidP="00F33B71">
            <w:pPr>
              <w:jc w:val="center"/>
              <w:rPr>
                <w:rFonts w:asciiTheme="minorHAnsi" w:hAnsiTheme="minorHAnsi" w:cstheme="minorHAnsi"/>
                <w:b/>
                <w:bCs/>
                <w:color w:val="000000"/>
                <w:sz w:val="22"/>
                <w:szCs w:val="22"/>
                <w:lang w:val="en-GB"/>
              </w:rPr>
            </w:pPr>
            <w:r w:rsidRPr="002133ED">
              <w:rPr>
                <w:rFonts w:asciiTheme="minorHAnsi" w:hAnsiTheme="minorHAnsi" w:cstheme="minorHAnsi"/>
                <w:b/>
                <w:bCs/>
                <w:color w:val="000000"/>
                <w:sz w:val="22"/>
                <w:szCs w:val="22"/>
                <w:lang w:val="en-GB"/>
              </w:rPr>
              <w:t>Inspectorate</w:t>
            </w:r>
          </w:p>
        </w:tc>
        <w:tc>
          <w:tcPr>
            <w:tcW w:w="1775" w:type="dxa"/>
            <w:vMerge w:val="restart"/>
            <w:tcBorders>
              <w:top w:val="single" w:sz="4" w:space="0" w:color="auto"/>
              <w:left w:val="single" w:sz="4" w:space="0" w:color="auto"/>
              <w:bottom w:val="double" w:sz="6" w:space="0" w:color="000000"/>
              <w:right w:val="single" w:sz="4" w:space="0" w:color="auto"/>
            </w:tcBorders>
            <w:shd w:val="clear" w:color="000000" w:fill="C5D9F1"/>
            <w:noWrap/>
            <w:vAlign w:val="center"/>
            <w:hideMark/>
          </w:tcPr>
          <w:p w14:paraId="1DB9EBC1" w14:textId="5987BD43" w:rsidR="004512B2" w:rsidRPr="002133ED" w:rsidRDefault="00894821" w:rsidP="00F33B71">
            <w:pPr>
              <w:jc w:val="center"/>
              <w:rPr>
                <w:rFonts w:asciiTheme="minorHAnsi" w:hAnsiTheme="minorHAnsi" w:cstheme="minorHAnsi"/>
                <w:b/>
                <w:bCs/>
                <w:color w:val="000000"/>
                <w:sz w:val="22"/>
                <w:szCs w:val="22"/>
                <w:lang w:val="en-GB"/>
              </w:rPr>
            </w:pPr>
            <w:r w:rsidRPr="002133ED">
              <w:rPr>
                <w:rFonts w:asciiTheme="minorHAnsi" w:hAnsiTheme="minorHAnsi" w:cstheme="minorHAnsi"/>
                <w:b/>
                <w:bCs/>
                <w:color w:val="000000"/>
                <w:sz w:val="22"/>
                <w:szCs w:val="22"/>
                <w:lang w:val="en-GB"/>
              </w:rPr>
              <w:t>Number of inspections</w:t>
            </w:r>
          </w:p>
        </w:tc>
        <w:tc>
          <w:tcPr>
            <w:tcW w:w="1889" w:type="dxa"/>
            <w:vMerge w:val="restart"/>
            <w:tcBorders>
              <w:top w:val="single" w:sz="4" w:space="0" w:color="auto"/>
              <w:left w:val="single" w:sz="4" w:space="0" w:color="auto"/>
              <w:bottom w:val="double" w:sz="6" w:space="0" w:color="000000"/>
              <w:right w:val="nil"/>
            </w:tcBorders>
            <w:shd w:val="clear" w:color="000000" w:fill="C5D9F1"/>
            <w:noWrap/>
            <w:vAlign w:val="center"/>
            <w:hideMark/>
          </w:tcPr>
          <w:p w14:paraId="00961765" w14:textId="6DBF3ADA" w:rsidR="004512B2" w:rsidRPr="002133ED" w:rsidRDefault="00894821" w:rsidP="00F33B71">
            <w:pPr>
              <w:jc w:val="center"/>
              <w:rPr>
                <w:rFonts w:asciiTheme="minorHAnsi" w:hAnsiTheme="minorHAnsi" w:cstheme="minorHAnsi"/>
                <w:b/>
                <w:bCs/>
                <w:color w:val="000000"/>
                <w:sz w:val="22"/>
                <w:szCs w:val="22"/>
                <w:lang w:val="en-GB"/>
              </w:rPr>
            </w:pPr>
            <w:r w:rsidRPr="002133ED">
              <w:rPr>
                <w:rFonts w:asciiTheme="minorHAnsi" w:hAnsiTheme="minorHAnsi" w:cstheme="minorHAnsi"/>
                <w:b/>
                <w:bCs/>
                <w:color w:val="000000"/>
                <w:sz w:val="22"/>
                <w:szCs w:val="22"/>
                <w:lang w:val="en-GB"/>
              </w:rPr>
              <w:t>Inspections with findings</w:t>
            </w:r>
          </w:p>
        </w:tc>
        <w:tc>
          <w:tcPr>
            <w:tcW w:w="2006" w:type="dxa"/>
            <w:vMerge w:val="restart"/>
            <w:tcBorders>
              <w:top w:val="single" w:sz="4" w:space="0" w:color="auto"/>
              <w:left w:val="single" w:sz="4" w:space="0" w:color="auto"/>
              <w:bottom w:val="double" w:sz="6" w:space="0" w:color="000000"/>
              <w:right w:val="single" w:sz="4" w:space="0" w:color="auto"/>
            </w:tcBorders>
            <w:shd w:val="clear" w:color="000000" w:fill="C5D9F1"/>
            <w:noWrap/>
            <w:vAlign w:val="center"/>
            <w:hideMark/>
          </w:tcPr>
          <w:p w14:paraId="190C2DB9" w14:textId="4B139F8D" w:rsidR="004512B2" w:rsidRPr="002133ED" w:rsidRDefault="00894821" w:rsidP="00F33B71">
            <w:pPr>
              <w:jc w:val="center"/>
              <w:rPr>
                <w:rFonts w:asciiTheme="minorHAnsi" w:hAnsiTheme="minorHAnsi" w:cstheme="minorHAnsi"/>
                <w:b/>
                <w:bCs/>
                <w:color w:val="000000"/>
                <w:sz w:val="22"/>
                <w:szCs w:val="22"/>
                <w:lang w:val="en-GB"/>
              </w:rPr>
            </w:pPr>
            <w:proofErr w:type="spellStart"/>
            <w:r w:rsidRPr="002133ED">
              <w:rPr>
                <w:rFonts w:asciiTheme="minorHAnsi" w:hAnsiTheme="minorHAnsi" w:cstheme="minorHAnsi"/>
                <w:b/>
                <w:bCs/>
                <w:color w:val="000000"/>
                <w:sz w:val="22"/>
                <w:szCs w:val="22"/>
                <w:lang w:val="en-GB"/>
              </w:rPr>
              <w:t>Findigns</w:t>
            </w:r>
            <w:proofErr w:type="spellEnd"/>
            <w:r w:rsidRPr="002133ED">
              <w:rPr>
                <w:rFonts w:asciiTheme="minorHAnsi" w:hAnsiTheme="minorHAnsi" w:cstheme="minorHAnsi"/>
                <w:b/>
                <w:bCs/>
                <w:color w:val="000000"/>
                <w:sz w:val="22"/>
                <w:szCs w:val="22"/>
                <w:lang w:val="en-GB"/>
              </w:rPr>
              <w:t xml:space="preserve"> in %</w:t>
            </w:r>
          </w:p>
        </w:tc>
      </w:tr>
      <w:tr w:rsidR="004512B2" w:rsidRPr="002133ED" w14:paraId="385228F8" w14:textId="77777777" w:rsidTr="00894821">
        <w:trPr>
          <w:trHeight w:val="450"/>
        </w:trPr>
        <w:tc>
          <w:tcPr>
            <w:tcW w:w="3397" w:type="dxa"/>
            <w:vMerge/>
            <w:tcBorders>
              <w:top w:val="nil"/>
              <w:left w:val="single" w:sz="4" w:space="0" w:color="auto"/>
              <w:bottom w:val="double" w:sz="6" w:space="0" w:color="000000"/>
              <w:right w:val="single" w:sz="4" w:space="0" w:color="auto"/>
            </w:tcBorders>
            <w:vAlign w:val="center"/>
            <w:hideMark/>
          </w:tcPr>
          <w:p w14:paraId="3621EB2B" w14:textId="77777777" w:rsidR="004512B2" w:rsidRPr="002133ED" w:rsidRDefault="004512B2" w:rsidP="00F33B71">
            <w:pPr>
              <w:rPr>
                <w:rFonts w:asciiTheme="minorHAnsi" w:hAnsiTheme="minorHAnsi" w:cstheme="minorHAnsi"/>
                <w:b/>
                <w:bCs/>
                <w:color w:val="000000"/>
                <w:sz w:val="20"/>
                <w:szCs w:val="20"/>
                <w:lang w:val="en-GB"/>
              </w:rPr>
            </w:pPr>
          </w:p>
        </w:tc>
        <w:tc>
          <w:tcPr>
            <w:tcW w:w="1775" w:type="dxa"/>
            <w:vMerge/>
            <w:tcBorders>
              <w:top w:val="nil"/>
              <w:left w:val="single" w:sz="4" w:space="0" w:color="auto"/>
              <w:bottom w:val="double" w:sz="6" w:space="0" w:color="000000"/>
              <w:right w:val="single" w:sz="4" w:space="0" w:color="auto"/>
            </w:tcBorders>
            <w:vAlign w:val="center"/>
            <w:hideMark/>
          </w:tcPr>
          <w:p w14:paraId="4E479C43" w14:textId="77777777" w:rsidR="004512B2" w:rsidRPr="002133ED" w:rsidRDefault="004512B2" w:rsidP="00F33B71">
            <w:pPr>
              <w:rPr>
                <w:rFonts w:asciiTheme="minorHAnsi" w:hAnsiTheme="minorHAnsi" w:cstheme="minorHAnsi"/>
                <w:b/>
                <w:bCs/>
                <w:color w:val="000000"/>
                <w:sz w:val="20"/>
                <w:szCs w:val="20"/>
                <w:lang w:val="en-GB"/>
              </w:rPr>
            </w:pPr>
          </w:p>
        </w:tc>
        <w:tc>
          <w:tcPr>
            <w:tcW w:w="1889" w:type="dxa"/>
            <w:vMerge/>
            <w:tcBorders>
              <w:top w:val="nil"/>
              <w:left w:val="single" w:sz="4" w:space="0" w:color="auto"/>
              <w:bottom w:val="double" w:sz="6" w:space="0" w:color="000000"/>
              <w:right w:val="nil"/>
            </w:tcBorders>
            <w:vAlign w:val="center"/>
            <w:hideMark/>
          </w:tcPr>
          <w:p w14:paraId="2C42A203" w14:textId="77777777" w:rsidR="004512B2" w:rsidRPr="002133ED" w:rsidRDefault="004512B2" w:rsidP="00F33B71">
            <w:pPr>
              <w:rPr>
                <w:rFonts w:asciiTheme="minorHAnsi" w:hAnsiTheme="minorHAnsi" w:cstheme="minorHAnsi"/>
                <w:b/>
                <w:bCs/>
                <w:color w:val="000000"/>
                <w:sz w:val="20"/>
                <w:szCs w:val="20"/>
                <w:lang w:val="en-GB"/>
              </w:rPr>
            </w:pPr>
          </w:p>
        </w:tc>
        <w:tc>
          <w:tcPr>
            <w:tcW w:w="2006" w:type="dxa"/>
            <w:vMerge/>
            <w:tcBorders>
              <w:top w:val="nil"/>
              <w:left w:val="single" w:sz="4" w:space="0" w:color="auto"/>
              <w:bottom w:val="double" w:sz="6" w:space="0" w:color="000000"/>
              <w:right w:val="single" w:sz="4" w:space="0" w:color="auto"/>
            </w:tcBorders>
            <w:vAlign w:val="center"/>
            <w:hideMark/>
          </w:tcPr>
          <w:p w14:paraId="134E279B" w14:textId="77777777" w:rsidR="004512B2" w:rsidRPr="002133ED" w:rsidRDefault="004512B2" w:rsidP="00F33B71">
            <w:pPr>
              <w:rPr>
                <w:rFonts w:asciiTheme="minorHAnsi" w:hAnsiTheme="minorHAnsi" w:cstheme="minorHAnsi"/>
                <w:b/>
                <w:bCs/>
                <w:color w:val="000000"/>
                <w:sz w:val="20"/>
                <w:szCs w:val="20"/>
                <w:lang w:val="en-GB"/>
              </w:rPr>
            </w:pPr>
          </w:p>
        </w:tc>
      </w:tr>
      <w:tr w:rsidR="004512B2" w:rsidRPr="002133ED" w14:paraId="4376F6E1" w14:textId="77777777" w:rsidTr="00894821">
        <w:trPr>
          <w:trHeight w:val="315"/>
        </w:trPr>
        <w:tc>
          <w:tcPr>
            <w:tcW w:w="3397" w:type="dxa"/>
            <w:tcBorders>
              <w:top w:val="nil"/>
              <w:left w:val="single" w:sz="4" w:space="0" w:color="auto"/>
              <w:bottom w:val="single" w:sz="4" w:space="0" w:color="auto"/>
              <w:right w:val="single" w:sz="4" w:space="0" w:color="auto"/>
            </w:tcBorders>
            <w:shd w:val="clear" w:color="000000" w:fill="DCE6F1"/>
            <w:noWrap/>
            <w:vAlign w:val="center"/>
            <w:hideMark/>
          </w:tcPr>
          <w:p w14:paraId="42FA8CC2" w14:textId="08E6AF78" w:rsidR="004512B2" w:rsidRPr="002133ED" w:rsidRDefault="004512B2" w:rsidP="00894821">
            <w:pPr>
              <w:ind w:firstLineChars="100" w:firstLine="220"/>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 xml:space="preserve">Středočeský </w:t>
            </w:r>
            <w:r w:rsidR="00894821" w:rsidRPr="002133ED">
              <w:rPr>
                <w:rFonts w:asciiTheme="minorHAnsi" w:hAnsiTheme="minorHAnsi" w:cstheme="minorHAnsi"/>
                <w:color w:val="000000"/>
                <w:sz w:val="22"/>
                <w:szCs w:val="22"/>
                <w:lang w:val="en-GB"/>
              </w:rPr>
              <w:t>and Prague</w:t>
            </w:r>
          </w:p>
        </w:tc>
        <w:tc>
          <w:tcPr>
            <w:tcW w:w="1775" w:type="dxa"/>
            <w:tcBorders>
              <w:top w:val="nil"/>
              <w:left w:val="nil"/>
              <w:bottom w:val="single" w:sz="4" w:space="0" w:color="auto"/>
              <w:right w:val="single" w:sz="4" w:space="0" w:color="auto"/>
            </w:tcBorders>
            <w:shd w:val="clear" w:color="000000" w:fill="DCE6F1"/>
            <w:noWrap/>
            <w:vAlign w:val="center"/>
            <w:hideMark/>
          </w:tcPr>
          <w:p w14:paraId="20F6C013"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766</w:t>
            </w:r>
          </w:p>
        </w:tc>
        <w:tc>
          <w:tcPr>
            <w:tcW w:w="1889" w:type="dxa"/>
            <w:tcBorders>
              <w:top w:val="nil"/>
              <w:left w:val="nil"/>
              <w:bottom w:val="single" w:sz="4" w:space="0" w:color="auto"/>
              <w:right w:val="nil"/>
            </w:tcBorders>
            <w:shd w:val="clear" w:color="000000" w:fill="DCE6F1"/>
            <w:noWrap/>
            <w:vAlign w:val="center"/>
            <w:hideMark/>
          </w:tcPr>
          <w:p w14:paraId="35336B53"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453</w:t>
            </w:r>
          </w:p>
        </w:tc>
        <w:tc>
          <w:tcPr>
            <w:tcW w:w="2006" w:type="dxa"/>
            <w:tcBorders>
              <w:top w:val="nil"/>
              <w:left w:val="single" w:sz="4" w:space="0" w:color="auto"/>
              <w:bottom w:val="single" w:sz="4" w:space="0" w:color="auto"/>
              <w:right w:val="single" w:sz="4" w:space="0" w:color="auto"/>
            </w:tcBorders>
            <w:shd w:val="clear" w:color="000000" w:fill="DCE6F1"/>
            <w:noWrap/>
            <w:vAlign w:val="center"/>
            <w:hideMark/>
          </w:tcPr>
          <w:p w14:paraId="10A92180" w14:textId="1099C751" w:rsidR="004512B2" w:rsidRPr="002133ED" w:rsidRDefault="004512B2" w:rsidP="0089482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59</w:t>
            </w:r>
            <w:r w:rsidR="00894821" w:rsidRPr="002133ED">
              <w:rPr>
                <w:rFonts w:asciiTheme="minorHAnsi" w:hAnsiTheme="minorHAnsi" w:cstheme="minorHAnsi"/>
                <w:color w:val="000000"/>
                <w:sz w:val="22"/>
                <w:szCs w:val="22"/>
                <w:lang w:val="en-GB"/>
              </w:rPr>
              <w:t>.</w:t>
            </w:r>
            <w:r w:rsidRPr="002133ED">
              <w:rPr>
                <w:rFonts w:asciiTheme="minorHAnsi" w:hAnsiTheme="minorHAnsi" w:cstheme="minorHAnsi"/>
                <w:color w:val="000000"/>
                <w:sz w:val="22"/>
                <w:szCs w:val="22"/>
                <w:lang w:val="en-GB"/>
              </w:rPr>
              <w:t>1%</w:t>
            </w:r>
          </w:p>
        </w:tc>
      </w:tr>
      <w:tr w:rsidR="004512B2" w:rsidRPr="002133ED" w14:paraId="5D81599A" w14:textId="77777777" w:rsidTr="00894821">
        <w:trPr>
          <w:trHeight w:val="300"/>
        </w:trPr>
        <w:tc>
          <w:tcPr>
            <w:tcW w:w="3397" w:type="dxa"/>
            <w:tcBorders>
              <w:top w:val="nil"/>
              <w:left w:val="single" w:sz="4" w:space="0" w:color="auto"/>
              <w:bottom w:val="single" w:sz="4" w:space="0" w:color="auto"/>
              <w:right w:val="single" w:sz="4" w:space="0" w:color="auto"/>
            </w:tcBorders>
            <w:shd w:val="clear" w:color="000000" w:fill="DAEEF3"/>
            <w:noWrap/>
            <w:vAlign w:val="center"/>
            <w:hideMark/>
          </w:tcPr>
          <w:p w14:paraId="45E9E53D" w14:textId="619E1168" w:rsidR="004512B2" w:rsidRPr="002133ED" w:rsidRDefault="004512B2" w:rsidP="00F33B71">
            <w:pPr>
              <w:ind w:firstLineChars="100" w:firstLine="220"/>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Jihočeský a</w:t>
            </w:r>
            <w:r w:rsidR="00894821" w:rsidRPr="002133ED">
              <w:rPr>
                <w:rFonts w:asciiTheme="minorHAnsi" w:hAnsiTheme="minorHAnsi" w:cstheme="minorHAnsi"/>
                <w:color w:val="000000"/>
                <w:sz w:val="22"/>
                <w:szCs w:val="22"/>
                <w:lang w:val="en-GB"/>
              </w:rPr>
              <w:t>nd</w:t>
            </w:r>
            <w:r w:rsidRPr="002133ED">
              <w:rPr>
                <w:rFonts w:asciiTheme="minorHAnsi" w:hAnsiTheme="minorHAnsi" w:cstheme="minorHAnsi"/>
                <w:color w:val="000000"/>
                <w:sz w:val="22"/>
                <w:szCs w:val="22"/>
                <w:lang w:val="en-GB"/>
              </w:rPr>
              <w:t xml:space="preserve"> Vysočina</w:t>
            </w:r>
          </w:p>
        </w:tc>
        <w:tc>
          <w:tcPr>
            <w:tcW w:w="1775" w:type="dxa"/>
            <w:tcBorders>
              <w:top w:val="nil"/>
              <w:left w:val="nil"/>
              <w:bottom w:val="single" w:sz="4" w:space="0" w:color="auto"/>
              <w:right w:val="single" w:sz="4" w:space="0" w:color="auto"/>
            </w:tcBorders>
            <w:shd w:val="clear" w:color="000000" w:fill="DAEEF3"/>
            <w:noWrap/>
            <w:vAlign w:val="center"/>
            <w:hideMark/>
          </w:tcPr>
          <w:p w14:paraId="390C2449"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956</w:t>
            </w:r>
          </w:p>
        </w:tc>
        <w:tc>
          <w:tcPr>
            <w:tcW w:w="1889" w:type="dxa"/>
            <w:tcBorders>
              <w:top w:val="nil"/>
              <w:left w:val="nil"/>
              <w:bottom w:val="single" w:sz="4" w:space="0" w:color="auto"/>
              <w:right w:val="nil"/>
            </w:tcBorders>
            <w:shd w:val="clear" w:color="000000" w:fill="DAEEF3"/>
            <w:noWrap/>
            <w:vAlign w:val="center"/>
            <w:hideMark/>
          </w:tcPr>
          <w:p w14:paraId="21D8D72B"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289</w:t>
            </w:r>
          </w:p>
        </w:tc>
        <w:tc>
          <w:tcPr>
            <w:tcW w:w="2006" w:type="dxa"/>
            <w:tcBorders>
              <w:top w:val="nil"/>
              <w:left w:val="single" w:sz="4" w:space="0" w:color="auto"/>
              <w:bottom w:val="single" w:sz="4" w:space="0" w:color="auto"/>
              <w:right w:val="single" w:sz="4" w:space="0" w:color="auto"/>
            </w:tcBorders>
            <w:shd w:val="clear" w:color="000000" w:fill="DAEEF3"/>
            <w:noWrap/>
            <w:vAlign w:val="center"/>
            <w:hideMark/>
          </w:tcPr>
          <w:p w14:paraId="16C34D83" w14:textId="6143F9B7" w:rsidR="004512B2" w:rsidRPr="002133ED" w:rsidRDefault="00894821"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30.</w:t>
            </w:r>
            <w:r w:rsidR="004512B2" w:rsidRPr="002133ED">
              <w:rPr>
                <w:rFonts w:asciiTheme="minorHAnsi" w:hAnsiTheme="minorHAnsi" w:cstheme="minorHAnsi"/>
                <w:color w:val="000000"/>
                <w:sz w:val="22"/>
                <w:szCs w:val="22"/>
                <w:lang w:val="en-GB"/>
              </w:rPr>
              <w:t>2%</w:t>
            </w:r>
          </w:p>
        </w:tc>
      </w:tr>
      <w:tr w:rsidR="004512B2" w:rsidRPr="002133ED" w14:paraId="5177F656" w14:textId="77777777" w:rsidTr="00894821">
        <w:trPr>
          <w:trHeight w:val="300"/>
        </w:trPr>
        <w:tc>
          <w:tcPr>
            <w:tcW w:w="3397" w:type="dxa"/>
            <w:tcBorders>
              <w:top w:val="nil"/>
              <w:left w:val="single" w:sz="4" w:space="0" w:color="auto"/>
              <w:bottom w:val="single" w:sz="4" w:space="0" w:color="auto"/>
              <w:right w:val="single" w:sz="4" w:space="0" w:color="auto"/>
            </w:tcBorders>
            <w:shd w:val="clear" w:color="000000" w:fill="DCE6F1"/>
            <w:noWrap/>
            <w:vAlign w:val="center"/>
            <w:hideMark/>
          </w:tcPr>
          <w:p w14:paraId="46575FEE" w14:textId="35A39A07" w:rsidR="004512B2" w:rsidRPr="002133ED" w:rsidRDefault="004512B2" w:rsidP="00F33B71">
            <w:pPr>
              <w:ind w:firstLineChars="100" w:firstLine="220"/>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Plzeňský a</w:t>
            </w:r>
            <w:r w:rsidR="00894821" w:rsidRPr="002133ED">
              <w:rPr>
                <w:rFonts w:asciiTheme="minorHAnsi" w:hAnsiTheme="minorHAnsi" w:cstheme="minorHAnsi"/>
                <w:color w:val="000000"/>
                <w:sz w:val="22"/>
                <w:szCs w:val="22"/>
                <w:lang w:val="en-GB"/>
              </w:rPr>
              <w:t>nd</w:t>
            </w:r>
            <w:r w:rsidRPr="002133ED">
              <w:rPr>
                <w:rFonts w:asciiTheme="minorHAnsi" w:hAnsiTheme="minorHAnsi" w:cstheme="minorHAnsi"/>
                <w:color w:val="000000"/>
                <w:sz w:val="22"/>
                <w:szCs w:val="22"/>
                <w:lang w:val="en-GB"/>
              </w:rPr>
              <w:t xml:space="preserve"> Karlovarský</w:t>
            </w:r>
          </w:p>
        </w:tc>
        <w:tc>
          <w:tcPr>
            <w:tcW w:w="1775" w:type="dxa"/>
            <w:tcBorders>
              <w:top w:val="nil"/>
              <w:left w:val="nil"/>
              <w:bottom w:val="single" w:sz="4" w:space="0" w:color="auto"/>
              <w:right w:val="single" w:sz="4" w:space="0" w:color="auto"/>
            </w:tcBorders>
            <w:shd w:val="clear" w:color="000000" w:fill="DCE6F1"/>
            <w:noWrap/>
            <w:vAlign w:val="center"/>
            <w:hideMark/>
          </w:tcPr>
          <w:p w14:paraId="21081863"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496</w:t>
            </w:r>
          </w:p>
        </w:tc>
        <w:tc>
          <w:tcPr>
            <w:tcW w:w="1889" w:type="dxa"/>
            <w:tcBorders>
              <w:top w:val="nil"/>
              <w:left w:val="nil"/>
              <w:bottom w:val="single" w:sz="4" w:space="0" w:color="auto"/>
              <w:right w:val="nil"/>
            </w:tcBorders>
            <w:shd w:val="clear" w:color="000000" w:fill="DCE6F1"/>
            <w:noWrap/>
            <w:vAlign w:val="center"/>
            <w:hideMark/>
          </w:tcPr>
          <w:p w14:paraId="4E9C4928"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239</w:t>
            </w:r>
          </w:p>
        </w:tc>
        <w:tc>
          <w:tcPr>
            <w:tcW w:w="2006" w:type="dxa"/>
            <w:tcBorders>
              <w:top w:val="nil"/>
              <w:left w:val="single" w:sz="4" w:space="0" w:color="auto"/>
              <w:bottom w:val="single" w:sz="4" w:space="0" w:color="auto"/>
              <w:right w:val="single" w:sz="4" w:space="0" w:color="auto"/>
            </w:tcBorders>
            <w:shd w:val="clear" w:color="000000" w:fill="DCE6F1"/>
            <w:noWrap/>
            <w:vAlign w:val="center"/>
            <w:hideMark/>
          </w:tcPr>
          <w:p w14:paraId="5CAF7067" w14:textId="6C0B5E8F" w:rsidR="004512B2" w:rsidRPr="002133ED" w:rsidRDefault="00894821"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48.</w:t>
            </w:r>
            <w:r w:rsidR="004512B2" w:rsidRPr="002133ED">
              <w:rPr>
                <w:rFonts w:asciiTheme="minorHAnsi" w:hAnsiTheme="minorHAnsi" w:cstheme="minorHAnsi"/>
                <w:color w:val="000000"/>
                <w:sz w:val="22"/>
                <w:szCs w:val="22"/>
                <w:lang w:val="en-GB"/>
              </w:rPr>
              <w:t>2%</w:t>
            </w:r>
          </w:p>
        </w:tc>
      </w:tr>
      <w:tr w:rsidR="004512B2" w:rsidRPr="002133ED" w14:paraId="0D34760E" w14:textId="77777777" w:rsidTr="00894821">
        <w:trPr>
          <w:trHeight w:val="300"/>
        </w:trPr>
        <w:tc>
          <w:tcPr>
            <w:tcW w:w="3397" w:type="dxa"/>
            <w:tcBorders>
              <w:top w:val="nil"/>
              <w:left w:val="single" w:sz="4" w:space="0" w:color="auto"/>
              <w:bottom w:val="single" w:sz="4" w:space="0" w:color="auto"/>
              <w:right w:val="single" w:sz="4" w:space="0" w:color="auto"/>
            </w:tcBorders>
            <w:shd w:val="clear" w:color="000000" w:fill="DAEEF3"/>
            <w:noWrap/>
            <w:vAlign w:val="center"/>
            <w:hideMark/>
          </w:tcPr>
          <w:p w14:paraId="02320FB2" w14:textId="48D43768" w:rsidR="004512B2" w:rsidRPr="002133ED" w:rsidRDefault="004512B2" w:rsidP="00F33B71">
            <w:pPr>
              <w:ind w:firstLineChars="100" w:firstLine="220"/>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Ústecký a</w:t>
            </w:r>
            <w:r w:rsidR="00894821" w:rsidRPr="002133ED">
              <w:rPr>
                <w:rFonts w:asciiTheme="minorHAnsi" w:hAnsiTheme="minorHAnsi" w:cstheme="minorHAnsi"/>
                <w:color w:val="000000"/>
                <w:sz w:val="22"/>
                <w:szCs w:val="22"/>
                <w:lang w:val="en-GB"/>
              </w:rPr>
              <w:t>nd</w:t>
            </w:r>
            <w:r w:rsidRPr="002133ED">
              <w:rPr>
                <w:rFonts w:asciiTheme="minorHAnsi" w:hAnsiTheme="minorHAnsi" w:cstheme="minorHAnsi"/>
                <w:color w:val="000000"/>
                <w:sz w:val="22"/>
                <w:szCs w:val="22"/>
                <w:lang w:val="en-GB"/>
              </w:rPr>
              <w:t xml:space="preserve"> Liberecký</w:t>
            </w:r>
          </w:p>
        </w:tc>
        <w:tc>
          <w:tcPr>
            <w:tcW w:w="1775" w:type="dxa"/>
            <w:tcBorders>
              <w:top w:val="nil"/>
              <w:left w:val="nil"/>
              <w:bottom w:val="single" w:sz="4" w:space="0" w:color="auto"/>
              <w:right w:val="single" w:sz="4" w:space="0" w:color="auto"/>
            </w:tcBorders>
            <w:shd w:val="clear" w:color="000000" w:fill="DAEEF3"/>
            <w:noWrap/>
            <w:vAlign w:val="center"/>
            <w:hideMark/>
          </w:tcPr>
          <w:p w14:paraId="5590D9F5"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661</w:t>
            </w:r>
          </w:p>
        </w:tc>
        <w:tc>
          <w:tcPr>
            <w:tcW w:w="1889" w:type="dxa"/>
            <w:tcBorders>
              <w:top w:val="nil"/>
              <w:left w:val="nil"/>
              <w:bottom w:val="single" w:sz="4" w:space="0" w:color="auto"/>
              <w:right w:val="nil"/>
            </w:tcBorders>
            <w:shd w:val="clear" w:color="000000" w:fill="DAEEF3"/>
            <w:noWrap/>
            <w:vAlign w:val="center"/>
            <w:hideMark/>
          </w:tcPr>
          <w:p w14:paraId="310671FC"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294</w:t>
            </w:r>
          </w:p>
        </w:tc>
        <w:tc>
          <w:tcPr>
            <w:tcW w:w="2006" w:type="dxa"/>
            <w:tcBorders>
              <w:top w:val="nil"/>
              <w:left w:val="single" w:sz="4" w:space="0" w:color="auto"/>
              <w:bottom w:val="single" w:sz="4" w:space="0" w:color="auto"/>
              <w:right w:val="single" w:sz="4" w:space="0" w:color="auto"/>
            </w:tcBorders>
            <w:shd w:val="clear" w:color="000000" w:fill="DAEEF3"/>
            <w:noWrap/>
            <w:vAlign w:val="center"/>
            <w:hideMark/>
          </w:tcPr>
          <w:p w14:paraId="5F4FA331" w14:textId="3FDAE2CE" w:rsidR="004512B2" w:rsidRPr="002133ED" w:rsidRDefault="00894821"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44.</w:t>
            </w:r>
            <w:r w:rsidR="004512B2" w:rsidRPr="002133ED">
              <w:rPr>
                <w:rFonts w:asciiTheme="minorHAnsi" w:hAnsiTheme="minorHAnsi" w:cstheme="minorHAnsi"/>
                <w:color w:val="000000"/>
                <w:sz w:val="22"/>
                <w:szCs w:val="22"/>
                <w:lang w:val="en-GB"/>
              </w:rPr>
              <w:t>5%</w:t>
            </w:r>
          </w:p>
        </w:tc>
      </w:tr>
      <w:tr w:rsidR="004512B2" w:rsidRPr="002133ED" w14:paraId="76B20D15" w14:textId="77777777" w:rsidTr="00894821">
        <w:trPr>
          <w:trHeight w:val="300"/>
        </w:trPr>
        <w:tc>
          <w:tcPr>
            <w:tcW w:w="3397" w:type="dxa"/>
            <w:tcBorders>
              <w:top w:val="nil"/>
              <w:left w:val="single" w:sz="4" w:space="0" w:color="auto"/>
              <w:bottom w:val="single" w:sz="4" w:space="0" w:color="auto"/>
              <w:right w:val="single" w:sz="4" w:space="0" w:color="auto"/>
            </w:tcBorders>
            <w:shd w:val="clear" w:color="000000" w:fill="DCE6F1"/>
            <w:noWrap/>
            <w:vAlign w:val="center"/>
            <w:hideMark/>
          </w:tcPr>
          <w:p w14:paraId="30A1B61A" w14:textId="11470646" w:rsidR="004512B2" w:rsidRPr="002133ED" w:rsidRDefault="004512B2" w:rsidP="00F33B71">
            <w:pPr>
              <w:ind w:firstLineChars="100" w:firstLine="220"/>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Královéhradecký a</w:t>
            </w:r>
            <w:r w:rsidR="00894821" w:rsidRPr="002133ED">
              <w:rPr>
                <w:rFonts w:asciiTheme="minorHAnsi" w:hAnsiTheme="minorHAnsi" w:cstheme="minorHAnsi"/>
                <w:color w:val="000000"/>
                <w:sz w:val="22"/>
                <w:szCs w:val="22"/>
                <w:lang w:val="en-GB"/>
              </w:rPr>
              <w:t>nd</w:t>
            </w:r>
            <w:r w:rsidRPr="002133ED">
              <w:rPr>
                <w:rFonts w:asciiTheme="minorHAnsi" w:hAnsiTheme="minorHAnsi" w:cstheme="minorHAnsi"/>
                <w:color w:val="000000"/>
                <w:sz w:val="22"/>
                <w:szCs w:val="22"/>
                <w:lang w:val="en-GB"/>
              </w:rPr>
              <w:t xml:space="preserve"> Pardubický</w:t>
            </w:r>
          </w:p>
        </w:tc>
        <w:tc>
          <w:tcPr>
            <w:tcW w:w="1775" w:type="dxa"/>
            <w:tcBorders>
              <w:top w:val="nil"/>
              <w:left w:val="nil"/>
              <w:bottom w:val="single" w:sz="4" w:space="0" w:color="auto"/>
              <w:right w:val="single" w:sz="4" w:space="0" w:color="auto"/>
            </w:tcBorders>
            <w:shd w:val="clear" w:color="000000" w:fill="DCE6F1"/>
            <w:noWrap/>
            <w:vAlign w:val="center"/>
            <w:hideMark/>
          </w:tcPr>
          <w:p w14:paraId="46D3D411" w14:textId="55CFCD65" w:rsidR="004512B2" w:rsidRPr="002133ED" w:rsidRDefault="00894821"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1,</w:t>
            </w:r>
            <w:r w:rsidR="004512B2" w:rsidRPr="002133ED">
              <w:rPr>
                <w:rFonts w:asciiTheme="minorHAnsi" w:hAnsiTheme="minorHAnsi" w:cstheme="minorHAnsi"/>
                <w:color w:val="000000"/>
                <w:sz w:val="22"/>
                <w:szCs w:val="22"/>
                <w:lang w:val="en-GB"/>
              </w:rPr>
              <w:t>101</w:t>
            </w:r>
          </w:p>
        </w:tc>
        <w:tc>
          <w:tcPr>
            <w:tcW w:w="1889" w:type="dxa"/>
            <w:tcBorders>
              <w:top w:val="nil"/>
              <w:left w:val="nil"/>
              <w:bottom w:val="single" w:sz="4" w:space="0" w:color="auto"/>
              <w:right w:val="nil"/>
            </w:tcBorders>
            <w:shd w:val="clear" w:color="000000" w:fill="DCE6F1"/>
            <w:noWrap/>
            <w:vAlign w:val="center"/>
            <w:hideMark/>
          </w:tcPr>
          <w:p w14:paraId="477B7B19"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383</w:t>
            </w:r>
          </w:p>
        </w:tc>
        <w:tc>
          <w:tcPr>
            <w:tcW w:w="2006" w:type="dxa"/>
            <w:tcBorders>
              <w:top w:val="nil"/>
              <w:left w:val="single" w:sz="4" w:space="0" w:color="auto"/>
              <w:bottom w:val="single" w:sz="4" w:space="0" w:color="auto"/>
              <w:right w:val="single" w:sz="4" w:space="0" w:color="auto"/>
            </w:tcBorders>
            <w:shd w:val="clear" w:color="000000" w:fill="DCE6F1"/>
            <w:noWrap/>
            <w:vAlign w:val="center"/>
            <w:hideMark/>
          </w:tcPr>
          <w:p w14:paraId="672E4FA3" w14:textId="6BB360A2" w:rsidR="004512B2" w:rsidRPr="002133ED" w:rsidRDefault="00894821"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34.</w:t>
            </w:r>
            <w:r w:rsidR="004512B2" w:rsidRPr="002133ED">
              <w:rPr>
                <w:rFonts w:asciiTheme="minorHAnsi" w:hAnsiTheme="minorHAnsi" w:cstheme="minorHAnsi"/>
                <w:color w:val="000000"/>
                <w:sz w:val="22"/>
                <w:szCs w:val="22"/>
                <w:lang w:val="en-GB"/>
              </w:rPr>
              <w:t>8%</w:t>
            </w:r>
          </w:p>
        </w:tc>
      </w:tr>
      <w:tr w:rsidR="004512B2" w:rsidRPr="002133ED" w14:paraId="4CBD1E33" w14:textId="77777777" w:rsidTr="00894821">
        <w:trPr>
          <w:trHeight w:val="300"/>
        </w:trPr>
        <w:tc>
          <w:tcPr>
            <w:tcW w:w="3397" w:type="dxa"/>
            <w:tcBorders>
              <w:top w:val="nil"/>
              <w:left w:val="single" w:sz="4" w:space="0" w:color="auto"/>
              <w:bottom w:val="single" w:sz="4" w:space="0" w:color="auto"/>
              <w:right w:val="single" w:sz="4" w:space="0" w:color="auto"/>
            </w:tcBorders>
            <w:shd w:val="clear" w:color="000000" w:fill="DAEEF3"/>
            <w:noWrap/>
            <w:vAlign w:val="center"/>
            <w:hideMark/>
          </w:tcPr>
          <w:p w14:paraId="27ACDBE9" w14:textId="5E0D5A87" w:rsidR="004512B2" w:rsidRPr="002133ED" w:rsidRDefault="004512B2" w:rsidP="00F33B71">
            <w:pPr>
              <w:ind w:firstLineChars="100" w:firstLine="220"/>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Jihomoravský a</w:t>
            </w:r>
            <w:r w:rsidR="00894821" w:rsidRPr="002133ED">
              <w:rPr>
                <w:rFonts w:asciiTheme="minorHAnsi" w:hAnsiTheme="minorHAnsi" w:cstheme="minorHAnsi"/>
                <w:color w:val="000000"/>
                <w:sz w:val="22"/>
                <w:szCs w:val="22"/>
                <w:lang w:val="en-GB"/>
              </w:rPr>
              <w:t>nd</w:t>
            </w:r>
            <w:r w:rsidRPr="002133ED">
              <w:rPr>
                <w:rFonts w:asciiTheme="minorHAnsi" w:hAnsiTheme="minorHAnsi" w:cstheme="minorHAnsi"/>
                <w:color w:val="000000"/>
                <w:sz w:val="22"/>
                <w:szCs w:val="22"/>
                <w:lang w:val="en-GB"/>
              </w:rPr>
              <w:t xml:space="preserve"> Zlínský</w:t>
            </w:r>
          </w:p>
        </w:tc>
        <w:tc>
          <w:tcPr>
            <w:tcW w:w="1775" w:type="dxa"/>
            <w:tcBorders>
              <w:top w:val="nil"/>
              <w:left w:val="nil"/>
              <w:bottom w:val="single" w:sz="4" w:space="0" w:color="auto"/>
              <w:right w:val="single" w:sz="4" w:space="0" w:color="auto"/>
            </w:tcBorders>
            <w:shd w:val="clear" w:color="000000" w:fill="DAEEF3"/>
            <w:noWrap/>
            <w:vAlign w:val="center"/>
            <w:hideMark/>
          </w:tcPr>
          <w:p w14:paraId="2D7D4819"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456</w:t>
            </w:r>
          </w:p>
        </w:tc>
        <w:tc>
          <w:tcPr>
            <w:tcW w:w="1889" w:type="dxa"/>
            <w:tcBorders>
              <w:top w:val="nil"/>
              <w:left w:val="nil"/>
              <w:bottom w:val="single" w:sz="4" w:space="0" w:color="auto"/>
              <w:right w:val="nil"/>
            </w:tcBorders>
            <w:shd w:val="clear" w:color="000000" w:fill="DAEEF3"/>
            <w:noWrap/>
            <w:vAlign w:val="center"/>
            <w:hideMark/>
          </w:tcPr>
          <w:p w14:paraId="3A43A160"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163</w:t>
            </w:r>
          </w:p>
        </w:tc>
        <w:tc>
          <w:tcPr>
            <w:tcW w:w="2006" w:type="dxa"/>
            <w:tcBorders>
              <w:top w:val="nil"/>
              <w:left w:val="single" w:sz="4" w:space="0" w:color="auto"/>
              <w:bottom w:val="single" w:sz="4" w:space="0" w:color="auto"/>
              <w:right w:val="single" w:sz="4" w:space="0" w:color="auto"/>
            </w:tcBorders>
            <w:shd w:val="clear" w:color="000000" w:fill="DAEEF3"/>
            <w:noWrap/>
            <w:vAlign w:val="center"/>
            <w:hideMark/>
          </w:tcPr>
          <w:p w14:paraId="4F92C5DA" w14:textId="15F77480" w:rsidR="004512B2" w:rsidRPr="002133ED" w:rsidRDefault="00894821"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35.</w:t>
            </w:r>
            <w:r w:rsidR="004512B2" w:rsidRPr="002133ED">
              <w:rPr>
                <w:rFonts w:asciiTheme="minorHAnsi" w:hAnsiTheme="minorHAnsi" w:cstheme="minorHAnsi"/>
                <w:color w:val="000000"/>
                <w:sz w:val="22"/>
                <w:szCs w:val="22"/>
                <w:lang w:val="en-GB"/>
              </w:rPr>
              <w:t>8%</w:t>
            </w:r>
          </w:p>
        </w:tc>
      </w:tr>
      <w:tr w:rsidR="004512B2" w:rsidRPr="002133ED" w14:paraId="5B407423" w14:textId="77777777" w:rsidTr="00894821">
        <w:trPr>
          <w:trHeight w:val="315"/>
        </w:trPr>
        <w:tc>
          <w:tcPr>
            <w:tcW w:w="3397" w:type="dxa"/>
            <w:tcBorders>
              <w:top w:val="nil"/>
              <w:left w:val="single" w:sz="4" w:space="0" w:color="auto"/>
              <w:bottom w:val="nil"/>
              <w:right w:val="single" w:sz="4" w:space="0" w:color="auto"/>
            </w:tcBorders>
            <w:shd w:val="clear" w:color="000000" w:fill="DCE6F1"/>
            <w:noWrap/>
            <w:vAlign w:val="center"/>
            <w:hideMark/>
          </w:tcPr>
          <w:p w14:paraId="0E3C7AD9" w14:textId="39BC3F80" w:rsidR="004512B2" w:rsidRPr="002133ED" w:rsidRDefault="004512B2" w:rsidP="00F33B71">
            <w:pPr>
              <w:ind w:firstLineChars="100" w:firstLine="220"/>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Olomoucký a</w:t>
            </w:r>
            <w:r w:rsidR="00894821" w:rsidRPr="002133ED">
              <w:rPr>
                <w:rFonts w:asciiTheme="minorHAnsi" w:hAnsiTheme="minorHAnsi" w:cstheme="minorHAnsi"/>
                <w:color w:val="000000"/>
                <w:sz w:val="22"/>
                <w:szCs w:val="22"/>
                <w:lang w:val="en-GB"/>
              </w:rPr>
              <w:t>nd</w:t>
            </w:r>
            <w:r w:rsidRPr="002133ED">
              <w:rPr>
                <w:rFonts w:asciiTheme="minorHAnsi" w:hAnsiTheme="minorHAnsi" w:cstheme="minorHAnsi"/>
                <w:color w:val="000000"/>
                <w:sz w:val="22"/>
                <w:szCs w:val="22"/>
                <w:lang w:val="en-GB"/>
              </w:rPr>
              <w:t xml:space="preserve"> Moravskoslezský</w:t>
            </w:r>
          </w:p>
        </w:tc>
        <w:tc>
          <w:tcPr>
            <w:tcW w:w="1775" w:type="dxa"/>
            <w:tcBorders>
              <w:top w:val="nil"/>
              <w:left w:val="nil"/>
              <w:bottom w:val="nil"/>
              <w:right w:val="single" w:sz="4" w:space="0" w:color="auto"/>
            </w:tcBorders>
            <w:shd w:val="clear" w:color="000000" w:fill="DCE6F1"/>
            <w:noWrap/>
            <w:vAlign w:val="center"/>
            <w:hideMark/>
          </w:tcPr>
          <w:p w14:paraId="41419506"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946</w:t>
            </w:r>
          </w:p>
        </w:tc>
        <w:tc>
          <w:tcPr>
            <w:tcW w:w="1889" w:type="dxa"/>
            <w:tcBorders>
              <w:top w:val="nil"/>
              <w:left w:val="nil"/>
              <w:bottom w:val="nil"/>
              <w:right w:val="nil"/>
            </w:tcBorders>
            <w:shd w:val="clear" w:color="000000" w:fill="DCE6F1"/>
            <w:noWrap/>
            <w:vAlign w:val="center"/>
            <w:hideMark/>
          </w:tcPr>
          <w:p w14:paraId="0BFED7E2" w14:textId="77777777" w:rsidR="004512B2" w:rsidRPr="002133ED" w:rsidRDefault="004512B2"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508</w:t>
            </w:r>
          </w:p>
        </w:tc>
        <w:tc>
          <w:tcPr>
            <w:tcW w:w="2006" w:type="dxa"/>
            <w:tcBorders>
              <w:top w:val="nil"/>
              <w:left w:val="single" w:sz="4" w:space="0" w:color="auto"/>
              <w:bottom w:val="nil"/>
              <w:right w:val="single" w:sz="4" w:space="0" w:color="auto"/>
            </w:tcBorders>
            <w:shd w:val="clear" w:color="000000" w:fill="DCE6F1"/>
            <w:noWrap/>
            <w:vAlign w:val="center"/>
            <w:hideMark/>
          </w:tcPr>
          <w:p w14:paraId="4AAC9E44" w14:textId="36D49152" w:rsidR="004512B2" w:rsidRPr="002133ED" w:rsidRDefault="00894821" w:rsidP="00F33B71">
            <w:pPr>
              <w:ind w:firstLineChars="400" w:firstLine="880"/>
              <w:jc w:val="right"/>
              <w:rPr>
                <w:rFonts w:asciiTheme="minorHAnsi" w:hAnsiTheme="minorHAnsi" w:cstheme="minorHAnsi"/>
                <w:color w:val="000000"/>
                <w:sz w:val="22"/>
                <w:szCs w:val="22"/>
                <w:lang w:val="en-GB"/>
              </w:rPr>
            </w:pPr>
            <w:r w:rsidRPr="002133ED">
              <w:rPr>
                <w:rFonts w:asciiTheme="minorHAnsi" w:hAnsiTheme="minorHAnsi" w:cstheme="minorHAnsi"/>
                <w:color w:val="000000"/>
                <w:sz w:val="22"/>
                <w:szCs w:val="22"/>
                <w:lang w:val="en-GB"/>
              </w:rPr>
              <w:t>53.</w:t>
            </w:r>
            <w:r w:rsidR="004512B2" w:rsidRPr="002133ED">
              <w:rPr>
                <w:rFonts w:asciiTheme="minorHAnsi" w:hAnsiTheme="minorHAnsi" w:cstheme="minorHAnsi"/>
                <w:color w:val="000000"/>
                <w:sz w:val="22"/>
                <w:szCs w:val="22"/>
                <w:lang w:val="en-GB"/>
              </w:rPr>
              <w:t>7%</w:t>
            </w:r>
          </w:p>
        </w:tc>
      </w:tr>
      <w:tr w:rsidR="004512B2" w:rsidRPr="002133ED" w14:paraId="0750C533" w14:textId="77777777" w:rsidTr="00894821">
        <w:trPr>
          <w:trHeight w:val="390"/>
        </w:trPr>
        <w:tc>
          <w:tcPr>
            <w:tcW w:w="3397" w:type="dxa"/>
            <w:tcBorders>
              <w:top w:val="single" w:sz="8" w:space="0" w:color="auto"/>
              <w:left w:val="single" w:sz="4" w:space="0" w:color="auto"/>
              <w:bottom w:val="single" w:sz="4" w:space="0" w:color="auto"/>
              <w:right w:val="single" w:sz="4" w:space="0" w:color="auto"/>
            </w:tcBorders>
            <w:shd w:val="clear" w:color="000000" w:fill="DAEEF3"/>
            <w:noWrap/>
            <w:vAlign w:val="center"/>
            <w:hideMark/>
          </w:tcPr>
          <w:p w14:paraId="52B44FF6" w14:textId="298F6932" w:rsidR="004512B2" w:rsidRPr="002133ED" w:rsidRDefault="00894821" w:rsidP="00F33B71">
            <w:pPr>
              <w:ind w:firstLineChars="100" w:firstLine="220"/>
              <w:rPr>
                <w:rFonts w:asciiTheme="minorHAnsi" w:hAnsiTheme="minorHAnsi" w:cstheme="minorHAnsi"/>
                <w:b/>
                <w:color w:val="000000"/>
                <w:sz w:val="22"/>
                <w:szCs w:val="22"/>
                <w:lang w:val="en-GB"/>
              </w:rPr>
            </w:pPr>
            <w:r w:rsidRPr="002133ED">
              <w:rPr>
                <w:rFonts w:asciiTheme="minorHAnsi" w:hAnsiTheme="minorHAnsi" w:cstheme="minorHAnsi"/>
                <w:b/>
                <w:color w:val="000000"/>
                <w:sz w:val="22"/>
                <w:szCs w:val="22"/>
                <w:lang w:val="en-GB"/>
              </w:rPr>
              <w:t>Total</w:t>
            </w:r>
          </w:p>
        </w:tc>
        <w:tc>
          <w:tcPr>
            <w:tcW w:w="1775" w:type="dxa"/>
            <w:tcBorders>
              <w:top w:val="single" w:sz="8" w:space="0" w:color="auto"/>
              <w:left w:val="nil"/>
              <w:bottom w:val="single" w:sz="4" w:space="0" w:color="auto"/>
              <w:right w:val="single" w:sz="4" w:space="0" w:color="auto"/>
            </w:tcBorders>
            <w:shd w:val="clear" w:color="000000" w:fill="DAEEF3"/>
            <w:noWrap/>
            <w:vAlign w:val="center"/>
            <w:hideMark/>
          </w:tcPr>
          <w:p w14:paraId="6A6C63C3" w14:textId="65245D2A" w:rsidR="004512B2" w:rsidRPr="002133ED" w:rsidRDefault="00894821" w:rsidP="00F33B71">
            <w:pPr>
              <w:ind w:firstLineChars="400" w:firstLine="880"/>
              <w:jc w:val="right"/>
              <w:rPr>
                <w:rFonts w:asciiTheme="minorHAnsi" w:hAnsiTheme="minorHAnsi" w:cstheme="minorHAnsi"/>
                <w:b/>
                <w:color w:val="000000"/>
                <w:sz w:val="22"/>
                <w:szCs w:val="22"/>
                <w:lang w:val="en-GB"/>
              </w:rPr>
            </w:pPr>
            <w:r w:rsidRPr="002133ED">
              <w:rPr>
                <w:rFonts w:asciiTheme="minorHAnsi" w:hAnsiTheme="minorHAnsi" w:cstheme="minorHAnsi"/>
                <w:b/>
                <w:color w:val="000000"/>
                <w:sz w:val="22"/>
                <w:szCs w:val="22"/>
                <w:lang w:val="en-GB"/>
              </w:rPr>
              <w:t>5,</w:t>
            </w:r>
            <w:r w:rsidR="004512B2" w:rsidRPr="002133ED">
              <w:rPr>
                <w:rFonts w:asciiTheme="minorHAnsi" w:hAnsiTheme="minorHAnsi" w:cstheme="minorHAnsi"/>
                <w:b/>
                <w:color w:val="000000"/>
                <w:sz w:val="22"/>
                <w:szCs w:val="22"/>
                <w:lang w:val="en-GB"/>
              </w:rPr>
              <w:t>382</w:t>
            </w:r>
          </w:p>
        </w:tc>
        <w:tc>
          <w:tcPr>
            <w:tcW w:w="1889" w:type="dxa"/>
            <w:tcBorders>
              <w:top w:val="single" w:sz="8" w:space="0" w:color="auto"/>
              <w:left w:val="nil"/>
              <w:bottom w:val="single" w:sz="4" w:space="0" w:color="auto"/>
              <w:right w:val="nil"/>
            </w:tcBorders>
            <w:shd w:val="clear" w:color="000000" w:fill="DAEEF3"/>
            <w:noWrap/>
            <w:vAlign w:val="center"/>
            <w:hideMark/>
          </w:tcPr>
          <w:p w14:paraId="5B3C100C" w14:textId="5C0EE8F7" w:rsidR="004512B2" w:rsidRPr="002133ED" w:rsidRDefault="00894821" w:rsidP="00F33B71">
            <w:pPr>
              <w:ind w:firstLineChars="400" w:firstLine="880"/>
              <w:jc w:val="right"/>
              <w:rPr>
                <w:rFonts w:asciiTheme="minorHAnsi" w:hAnsiTheme="minorHAnsi" w:cstheme="minorHAnsi"/>
                <w:b/>
                <w:color w:val="000000"/>
                <w:sz w:val="22"/>
                <w:szCs w:val="22"/>
                <w:lang w:val="en-GB"/>
              </w:rPr>
            </w:pPr>
            <w:r w:rsidRPr="002133ED">
              <w:rPr>
                <w:rFonts w:asciiTheme="minorHAnsi" w:hAnsiTheme="minorHAnsi" w:cstheme="minorHAnsi"/>
                <w:b/>
                <w:color w:val="000000"/>
                <w:sz w:val="22"/>
                <w:szCs w:val="22"/>
                <w:lang w:val="en-GB"/>
              </w:rPr>
              <w:t>2,</w:t>
            </w:r>
            <w:r w:rsidR="004512B2" w:rsidRPr="002133ED">
              <w:rPr>
                <w:rFonts w:asciiTheme="minorHAnsi" w:hAnsiTheme="minorHAnsi" w:cstheme="minorHAnsi"/>
                <w:b/>
                <w:color w:val="000000"/>
                <w:sz w:val="22"/>
                <w:szCs w:val="22"/>
                <w:lang w:val="en-GB"/>
              </w:rPr>
              <w:t>329</w:t>
            </w:r>
          </w:p>
        </w:tc>
        <w:tc>
          <w:tcPr>
            <w:tcW w:w="2006" w:type="dxa"/>
            <w:tcBorders>
              <w:top w:val="single" w:sz="8" w:space="0" w:color="auto"/>
              <w:left w:val="single" w:sz="4" w:space="0" w:color="auto"/>
              <w:bottom w:val="single" w:sz="4" w:space="0" w:color="auto"/>
              <w:right w:val="single" w:sz="4" w:space="0" w:color="auto"/>
            </w:tcBorders>
            <w:shd w:val="clear" w:color="000000" w:fill="DAEEF3"/>
            <w:noWrap/>
            <w:vAlign w:val="center"/>
            <w:hideMark/>
          </w:tcPr>
          <w:p w14:paraId="2A407EE4" w14:textId="478CE104" w:rsidR="004512B2" w:rsidRPr="002133ED" w:rsidRDefault="00894821" w:rsidP="00F33B71">
            <w:pPr>
              <w:ind w:firstLineChars="400" w:firstLine="880"/>
              <w:jc w:val="right"/>
              <w:rPr>
                <w:rFonts w:asciiTheme="minorHAnsi" w:hAnsiTheme="minorHAnsi" w:cstheme="minorHAnsi"/>
                <w:b/>
                <w:color w:val="000000"/>
                <w:sz w:val="22"/>
                <w:szCs w:val="22"/>
                <w:lang w:val="en-GB"/>
              </w:rPr>
            </w:pPr>
            <w:r w:rsidRPr="002133ED">
              <w:rPr>
                <w:rFonts w:asciiTheme="minorHAnsi" w:hAnsiTheme="minorHAnsi" w:cstheme="minorHAnsi"/>
                <w:b/>
                <w:color w:val="000000"/>
                <w:sz w:val="22"/>
                <w:szCs w:val="22"/>
                <w:lang w:val="en-GB"/>
              </w:rPr>
              <w:t>43.</w:t>
            </w:r>
            <w:r w:rsidR="004512B2" w:rsidRPr="002133ED">
              <w:rPr>
                <w:rFonts w:asciiTheme="minorHAnsi" w:hAnsiTheme="minorHAnsi" w:cstheme="minorHAnsi"/>
                <w:b/>
                <w:color w:val="000000"/>
                <w:sz w:val="22"/>
                <w:szCs w:val="22"/>
                <w:lang w:val="en-GB"/>
              </w:rPr>
              <w:t>3%</w:t>
            </w:r>
          </w:p>
        </w:tc>
      </w:tr>
    </w:tbl>
    <w:p w14:paraId="55F2A96E" w14:textId="62CDF1F8" w:rsidR="0010703D" w:rsidRPr="002133ED" w:rsidRDefault="0010703D" w:rsidP="00C31D1D">
      <w:pPr>
        <w:spacing w:before="120" w:after="120" w:line="276" w:lineRule="auto"/>
        <w:jc w:val="both"/>
        <w:rPr>
          <w:rFonts w:asciiTheme="minorHAnsi" w:hAnsiTheme="minorHAnsi" w:cstheme="minorHAnsi"/>
          <w:sz w:val="22"/>
          <w:szCs w:val="22"/>
          <w:lang w:val="en-GB"/>
        </w:rPr>
      </w:pPr>
    </w:p>
    <w:p w14:paraId="47EBEB36" w14:textId="484BCC0B" w:rsidR="0010703D" w:rsidRPr="002133ED" w:rsidRDefault="00894821" w:rsidP="00C31D1D">
      <w:pPr>
        <w:spacing w:before="120" w:after="120" w:line="276" w:lineRule="auto"/>
        <w:jc w:val="both"/>
        <w:rPr>
          <w:rFonts w:asciiTheme="minorHAnsi" w:hAnsiTheme="minorHAnsi" w:cstheme="minorHAnsi"/>
          <w:b/>
          <w:sz w:val="22"/>
          <w:szCs w:val="22"/>
          <w:lang w:val="en-GB"/>
        </w:rPr>
      </w:pPr>
      <w:r w:rsidRPr="002133ED">
        <w:rPr>
          <w:rFonts w:asciiTheme="minorHAnsi" w:hAnsiTheme="minorHAnsi" w:cstheme="minorHAnsi"/>
          <w:b/>
          <w:sz w:val="22"/>
          <w:szCs w:val="22"/>
          <w:lang w:val="en-GB"/>
        </w:rPr>
        <w:t>Detected flaws</w:t>
      </w:r>
    </w:p>
    <w:p w14:paraId="71334146" w14:textId="38857601" w:rsidR="00894821" w:rsidRPr="002133ED" w:rsidRDefault="00894821" w:rsidP="00894821">
      <w:pPr>
        <w:spacing w:before="120" w:after="120" w:line="276" w:lineRule="auto"/>
        <w:jc w:val="both"/>
        <w:rPr>
          <w:rFonts w:asciiTheme="minorHAnsi" w:hAnsiTheme="minorHAnsi" w:cstheme="minorHAnsi"/>
          <w:sz w:val="22"/>
          <w:szCs w:val="22"/>
          <w:u w:val="single"/>
          <w:lang w:val="en-GB"/>
        </w:rPr>
      </w:pPr>
      <w:r w:rsidRPr="002133ED">
        <w:rPr>
          <w:rFonts w:asciiTheme="minorHAnsi" w:hAnsiTheme="minorHAnsi" w:cstheme="minorHAnsi"/>
          <w:sz w:val="22"/>
          <w:szCs w:val="22"/>
          <w:u w:val="single"/>
          <w:lang w:val="en-GB"/>
        </w:rPr>
        <w:t xml:space="preserve">Violation of any of the provisions of Act No. 65/2017 Coll., on Health Protection from the Harmful Effects of Drugs, </w:t>
      </w:r>
      <w:proofErr w:type="gramStart"/>
      <w:r w:rsidRPr="002133ED">
        <w:rPr>
          <w:rFonts w:asciiTheme="minorHAnsi" w:hAnsiTheme="minorHAnsi" w:cstheme="minorHAnsi"/>
          <w:sz w:val="22"/>
          <w:szCs w:val="22"/>
          <w:u w:val="single"/>
          <w:lang w:val="en-GB"/>
        </w:rPr>
        <w:t>was detected</w:t>
      </w:r>
      <w:proofErr w:type="gramEnd"/>
      <w:r w:rsidRPr="002133ED">
        <w:rPr>
          <w:rFonts w:asciiTheme="minorHAnsi" w:hAnsiTheme="minorHAnsi" w:cstheme="minorHAnsi"/>
          <w:sz w:val="22"/>
          <w:szCs w:val="22"/>
          <w:u w:val="single"/>
          <w:lang w:val="en-GB"/>
        </w:rPr>
        <w:t xml:space="preserve"> in 288 cases. </w:t>
      </w:r>
    </w:p>
    <w:p w14:paraId="796380EF" w14:textId="565C032E" w:rsidR="00894821" w:rsidRPr="002133ED" w:rsidRDefault="00894821" w:rsidP="00894821">
      <w:pPr>
        <w:spacing w:before="120" w:after="120" w:line="276" w:lineRule="auto"/>
        <w:jc w:val="both"/>
        <w:rPr>
          <w:rFonts w:asciiTheme="minorHAnsi" w:hAnsiTheme="minorHAnsi" w:cstheme="minorHAnsi"/>
          <w:sz w:val="22"/>
          <w:szCs w:val="22"/>
          <w:lang w:val="en-GB"/>
        </w:rPr>
      </w:pPr>
      <w:r w:rsidRPr="002133ED">
        <w:rPr>
          <w:rFonts w:asciiTheme="minorHAnsi" w:hAnsiTheme="minorHAnsi" w:cstheme="minorHAnsi"/>
          <w:sz w:val="22"/>
          <w:szCs w:val="22"/>
          <w:lang w:val="en-GB"/>
        </w:rPr>
        <w:t>Most often, traders (255 cases) violated some provisions regarding the sale of alcohol. In particular, the following provisions were:</w:t>
      </w:r>
    </w:p>
    <w:p w14:paraId="6BC01444" w14:textId="56E4C87C" w:rsidR="00894821" w:rsidRPr="002133ED" w:rsidRDefault="00894821" w:rsidP="00894821">
      <w:pPr>
        <w:pStyle w:val="Odstavecseseznamem"/>
        <w:numPr>
          <w:ilvl w:val="0"/>
          <w:numId w:val="45"/>
        </w:numPr>
        <w:spacing w:before="120" w:after="120"/>
        <w:jc w:val="both"/>
        <w:rPr>
          <w:rFonts w:asciiTheme="minorHAnsi" w:hAnsiTheme="minorHAnsi" w:cstheme="minorHAnsi"/>
          <w:lang w:val="en-GB"/>
        </w:rPr>
      </w:pPr>
      <w:r w:rsidRPr="002133ED">
        <w:rPr>
          <w:rFonts w:asciiTheme="minorHAnsi" w:hAnsiTheme="minorHAnsi" w:cstheme="minorHAnsi"/>
          <w:lang w:val="en-GB"/>
        </w:rPr>
        <w:t xml:space="preserve">in 171 cases, a breach of a provision prohibiting the sale or serving of an alcoholic beverage to a person under the age of 18 was found (Section 11 par. 5); </w:t>
      </w:r>
    </w:p>
    <w:p w14:paraId="42D66732" w14:textId="69858D32" w:rsidR="00894821" w:rsidRPr="002133ED" w:rsidRDefault="00894821" w:rsidP="00894821">
      <w:pPr>
        <w:pStyle w:val="Odstavecseseznamem"/>
        <w:numPr>
          <w:ilvl w:val="0"/>
          <w:numId w:val="45"/>
        </w:numPr>
        <w:spacing w:before="120" w:after="120"/>
        <w:jc w:val="both"/>
        <w:rPr>
          <w:rFonts w:asciiTheme="minorHAnsi" w:hAnsiTheme="minorHAnsi" w:cstheme="minorHAnsi"/>
          <w:lang w:val="en-GB"/>
        </w:rPr>
      </w:pPr>
      <w:r w:rsidRPr="002133ED">
        <w:rPr>
          <w:rFonts w:asciiTheme="minorHAnsi" w:hAnsiTheme="minorHAnsi" w:cstheme="minorHAnsi"/>
          <w:lang w:val="en-GB"/>
        </w:rPr>
        <w:t xml:space="preserve">in 78 cases, sellers did not </w:t>
      </w:r>
      <w:r w:rsidR="00F33B71" w:rsidRPr="002133ED">
        <w:rPr>
          <w:rFonts w:asciiTheme="minorHAnsi" w:hAnsiTheme="minorHAnsi" w:cstheme="minorHAnsi"/>
          <w:lang w:val="en-GB"/>
        </w:rPr>
        <w:t>display</w:t>
      </w:r>
      <w:r w:rsidRPr="002133ED">
        <w:rPr>
          <w:rFonts w:asciiTheme="minorHAnsi" w:hAnsiTheme="minorHAnsi" w:cstheme="minorHAnsi"/>
          <w:lang w:val="en-GB"/>
        </w:rPr>
        <w:t xml:space="preserve"> </w:t>
      </w:r>
      <w:r w:rsidR="00F33B71" w:rsidRPr="002133ED">
        <w:rPr>
          <w:rFonts w:asciiTheme="minorHAnsi" w:hAnsiTheme="minorHAnsi" w:cstheme="minorHAnsi"/>
          <w:lang w:val="en-GB"/>
        </w:rPr>
        <w:t xml:space="preserve">any </w:t>
      </w:r>
      <w:r w:rsidRPr="002133ED">
        <w:rPr>
          <w:rFonts w:asciiTheme="minorHAnsi" w:hAnsiTheme="minorHAnsi" w:cstheme="minorHAnsi"/>
          <w:lang w:val="en-GB"/>
        </w:rPr>
        <w:t>clearly visible text on the prohibition of the sale of such beverages to persons under the age of 18 at the points of sale of alcoholic beverages to consumers, or th</w:t>
      </w:r>
      <w:r w:rsidR="00F33B71" w:rsidRPr="002133ED">
        <w:rPr>
          <w:rFonts w:asciiTheme="minorHAnsi" w:hAnsiTheme="minorHAnsi" w:cstheme="minorHAnsi"/>
          <w:lang w:val="en-GB"/>
        </w:rPr>
        <w:t>is text was not made in a</w:t>
      </w:r>
      <w:r w:rsidRPr="002133ED">
        <w:rPr>
          <w:rFonts w:asciiTheme="minorHAnsi" w:hAnsiTheme="minorHAnsi" w:cstheme="minorHAnsi"/>
          <w:lang w:val="en-GB"/>
        </w:rPr>
        <w:t xml:space="preserve"> </w:t>
      </w:r>
      <w:r w:rsidR="00F33B71" w:rsidRPr="002133ED">
        <w:rPr>
          <w:rFonts w:asciiTheme="minorHAnsi" w:hAnsiTheme="minorHAnsi" w:cstheme="minorHAnsi"/>
          <w:lang w:val="en-GB"/>
        </w:rPr>
        <w:t>required</w:t>
      </w:r>
      <w:r w:rsidRPr="002133ED">
        <w:rPr>
          <w:rFonts w:asciiTheme="minorHAnsi" w:hAnsiTheme="minorHAnsi" w:cstheme="minorHAnsi"/>
          <w:lang w:val="en-GB"/>
        </w:rPr>
        <w:t xml:space="preserve"> version, i.e. in Czech, in black letters on a white background with </w:t>
      </w:r>
      <w:r w:rsidR="00F33B71" w:rsidRPr="002133ED">
        <w:rPr>
          <w:rFonts w:asciiTheme="minorHAnsi" w:hAnsiTheme="minorHAnsi" w:cstheme="minorHAnsi"/>
          <w:lang w:val="en-GB"/>
        </w:rPr>
        <w:t>the font size</w:t>
      </w:r>
      <w:r w:rsidRPr="002133ED">
        <w:rPr>
          <w:rFonts w:asciiTheme="minorHAnsi" w:hAnsiTheme="minorHAnsi" w:cstheme="minorHAnsi"/>
          <w:lang w:val="en-GB"/>
        </w:rPr>
        <w:t xml:space="preserve"> of at least 2 cm (§ 13 para. 1);</w:t>
      </w:r>
    </w:p>
    <w:p w14:paraId="7BC29C77" w14:textId="5F06F1C4" w:rsidR="00894821" w:rsidRPr="002133ED" w:rsidRDefault="00894821" w:rsidP="00894821">
      <w:pPr>
        <w:pStyle w:val="Odstavecseseznamem"/>
        <w:numPr>
          <w:ilvl w:val="0"/>
          <w:numId w:val="45"/>
        </w:numPr>
        <w:spacing w:before="120" w:after="120"/>
        <w:jc w:val="both"/>
        <w:rPr>
          <w:rFonts w:asciiTheme="minorHAnsi" w:hAnsiTheme="minorHAnsi" w:cstheme="minorHAnsi"/>
          <w:lang w:val="en-GB"/>
        </w:rPr>
      </w:pPr>
      <w:proofErr w:type="gramStart"/>
      <w:r w:rsidRPr="002133ED">
        <w:rPr>
          <w:rFonts w:asciiTheme="minorHAnsi" w:hAnsiTheme="minorHAnsi" w:cstheme="minorHAnsi"/>
          <w:lang w:val="en-GB"/>
        </w:rPr>
        <w:t>to</w:t>
      </w:r>
      <w:proofErr w:type="gramEnd"/>
      <w:r w:rsidRPr="002133ED">
        <w:rPr>
          <w:rFonts w:asciiTheme="minorHAnsi" w:hAnsiTheme="minorHAnsi" w:cstheme="minorHAnsi"/>
          <w:lang w:val="en-GB"/>
        </w:rPr>
        <w:t xml:space="preserve"> a lesser extent, in 6 cases, some other provision of this Act were breached.</w:t>
      </w:r>
    </w:p>
    <w:p w14:paraId="0D5B2139" w14:textId="5639DAF4" w:rsidR="00F33B71" w:rsidRPr="002133ED" w:rsidRDefault="00F33B71" w:rsidP="004512B2">
      <w:pPr>
        <w:spacing w:before="120" w:after="120" w:line="276" w:lineRule="auto"/>
        <w:jc w:val="both"/>
        <w:rPr>
          <w:rFonts w:asciiTheme="minorHAnsi" w:hAnsiTheme="minorHAnsi" w:cstheme="minorHAnsi"/>
          <w:sz w:val="22"/>
          <w:szCs w:val="22"/>
          <w:lang w:val="en-GB"/>
        </w:rPr>
      </w:pPr>
      <w:r w:rsidRPr="002133ED">
        <w:rPr>
          <w:rFonts w:asciiTheme="minorHAnsi" w:hAnsiTheme="minorHAnsi" w:cstheme="minorHAnsi"/>
          <w:sz w:val="22"/>
          <w:szCs w:val="22"/>
          <w:lang w:val="en-GB"/>
        </w:rPr>
        <w:t>Furthermore, traders (33 cases) breached certain provisions relating to tobacco sales, such as:</w:t>
      </w:r>
    </w:p>
    <w:p w14:paraId="68A267BB" w14:textId="58AF62ED" w:rsidR="00F33B71" w:rsidRPr="002133ED" w:rsidRDefault="00F33B71" w:rsidP="00F33B71">
      <w:pPr>
        <w:pStyle w:val="Odstavecseseznamem"/>
        <w:numPr>
          <w:ilvl w:val="0"/>
          <w:numId w:val="45"/>
        </w:numPr>
        <w:spacing w:before="120" w:after="120"/>
        <w:jc w:val="both"/>
        <w:rPr>
          <w:rFonts w:asciiTheme="minorHAnsi" w:eastAsia="Times New Roman" w:hAnsiTheme="minorHAnsi" w:cstheme="minorHAnsi"/>
          <w:lang w:val="en-GB" w:eastAsia="cs-CZ"/>
        </w:rPr>
      </w:pPr>
      <w:r w:rsidRPr="002133ED">
        <w:rPr>
          <w:rFonts w:asciiTheme="minorHAnsi" w:eastAsia="Times New Roman" w:hAnsiTheme="minorHAnsi" w:cstheme="minorHAnsi"/>
          <w:lang w:val="en-GB" w:eastAsia="cs-CZ"/>
        </w:rPr>
        <w:t>in 9 cases, traders breached the prohibition of the sale or serving of tobacco products, herbal products intended for smoking and e-cigarettes and infringed the prohibition of the sale or use of smoking aids to a person under the age of 18 (Section 3 par. 4);</w:t>
      </w:r>
    </w:p>
    <w:p w14:paraId="397266F2" w14:textId="21824A6D" w:rsidR="00F33B71" w:rsidRPr="002133ED" w:rsidRDefault="00F33B71" w:rsidP="00F33B71">
      <w:pPr>
        <w:pStyle w:val="Odstavecseseznamem"/>
        <w:numPr>
          <w:ilvl w:val="0"/>
          <w:numId w:val="45"/>
        </w:numPr>
        <w:spacing w:before="120" w:after="120"/>
        <w:jc w:val="both"/>
        <w:rPr>
          <w:rFonts w:asciiTheme="minorHAnsi" w:eastAsia="Times New Roman" w:hAnsiTheme="minorHAnsi" w:cstheme="minorHAnsi"/>
          <w:lang w:val="en-GB" w:eastAsia="cs-CZ"/>
        </w:rPr>
      </w:pPr>
      <w:r w:rsidRPr="002133ED">
        <w:rPr>
          <w:rFonts w:asciiTheme="minorHAnsi" w:eastAsia="Times New Roman" w:hAnsiTheme="minorHAnsi" w:cstheme="minorHAnsi"/>
          <w:lang w:val="en-GB" w:eastAsia="cs-CZ"/>
        </w:rPr>
        <w:t xml:space="preserve">in 8 cases, the seller </w:t>
      </w:r>
      <w:r w:rsidR="00726633" w:rsidRPr="002133ED">
        <w:rPr>
          <w:rFonts w:asciiTheme="minorHAnsi" w:eastAsia="Times New Roman" w:hAnsiTheme="minorHAnsi" w:cstheme="minorHAnsi"/>
          <w:lang w:val="en-GB" w:eastAsia="cs-CZ"/>
        </w:rPr>
        <w:t>did</w:t>
      </w:r>
      <w:r w:rsidRPr="002133ED">
        <w:rPr>
          <w:rFonts w:asciiTheme="minorHAnsi" w:eastAsia="Times New Roman" w:hAnsiTheme="minorHAnsi" w:cstheme="minorHAnsi"/>
          <w:lang w:val="en-GB" w:eastAsia="cs-CZ"/>
        </w:rPr>
        <w:t xml:space="preserve"> not ruled out the sale of these products to persons under the age of 18 when selling tobacco products, smoking equipment, herbal products intended for smoking and e-cigarettes by means of distance communication, or </w:t>
      </w:r>
      <w:r w:rsidR="00726633" w:rsidRPr="002133ED">
        <w:rPr>
          <w:rFonts w:asciiTheme="minorHAnsi" w:eastAsia="Times New Roman" w:hAnsiTheme="minorHAnsi" w:cstheme="minorHAnsi"/>
          <w:lang w:val="en-GB" w:eastAsia="cs-CZ"/>
        </w:rPr>
        <w:t>was not</w:t>
      </w:r>
      <w:r w:rsidRPr="002133ED">
        <w:rPr>
          <w:rFonts w:asciiTheme="minorHAnsi" w:eastAsia="Times New Roman" w:hAnsiTheme="minorHAnsi" w:cstheme="minorHAnsi"/>
          <w:lang w:val="en-GB" w:eastAsia="cs-CZ"/>
        </w:rPr>
        <w:t xml:space="preserve"> equipped with a computer system to </w:t>
      </w:r>
      <w:r w:rsidRPr="002133ED">
        <w:rPr>
          <w:rFonts w:asciiTheme="minorHAnsi" w:eastAsia="Times New Roman" w:hAnsiTheme="minorHAnsi" w:cstheme="minorHAnsi"/>
          <w:lang w:val="en-GB" w:eastAsia="cs-CZ"/>
        </w:rPr>
        <w:lastRenderedPageBreak/>
        <w:t xml:space="preserve">clearly verify the age of the consumer, since the seller is obliged to verify at the </w:t>
      </w:r>
      <w:r w:rsidR="00726633" w:rsidRPr="002133ED">
        <w:rPr>
          <w:rFonts w:asciiTheme="minorHAnsi" w:eastAsia="Times New Roman" w:hAnsiTheme="minorHAnsi" w:cstheme="minorHAnsi"/>
          <w:lang w:val="en-GB" w:eastAsia="cs-CZ"/>
        </w:rPr>
        <w:t>moment</w:t>
      </w:r>
      <w:r w:rsidRPr="002133ED">
        <w:rPr>
          <w:rFonts w:asciiTheme="minorHAnsi" w:eastAsia="Times New Roman" w:hAnsiTheme="minorHAnsi" w:cstheme="minorHAnsi"/>
          <w:lang w:val="en-GB" w:eastAsia="cs-CZ"/>
        </w:rPr>
        <w:t xml:space="preserve"> of sale that the buyer is not under 18 years of age (</w:t>
      </w:r>
      <w:r w:rsidR="00726633" w:rsidRPr="002133ED">
        <w:rPr>
          <w:rFonts w:asciiTheme="minorHAnsi" w:eastAsia="Times New Roman" w:hAnsiTheme="minorHAnsi" w:cstheme="minorHAnsi"/>
          <w:lang w:val="en-GB" w:eastAsia="cs-CZ"/>
        </w:rPr>
        <w:t>Section</w:t>
      </w:r>
      <w:r w:rsidRPr="002133ED">
        <w:rPr>
          <w:rFonts w:asciiTheme="minorHAnsi" w:eastAsia="Times New Roman" w:hAnsiTheme="minorHAnsi" w:cstheme="minorHAnsi"/>
          <w:lang w:val="en-GB" w:eastAsia="cs-CZ"/>
        </w:rPr>
        <w:t xml:space="preserve"> 6 par. 1);</w:t>
      </w:r>
    </w:p>
    <w:p w14:paraId="7DA0CD2F" w14:textId="2B0A107D" w:rsidR="00F33B71" w:rsidRPr="002133ED" w:rsidRDefault="00F33B71" w:rsidP="00F33B71">
      <w:pPr>
        <w:pStyle w:val="Odstavecseseznamem"/>
        <w:numPr>
          <w:ilvl w:val="0"/>
          <w:numId w:val="45"/>
        </w:numPr>
        <w:spacing w:before="120" w:after="120"/>
        <w:jc w:val="both"/>
        <w:rPr>
          <w:rFonts w:asciiTheme="minorHAnsi" w:eastAsia="Times New Roman" w:hAnsiTheme="minorHAnsi" w:cstheme="minorHAnsi"/>
          <w:lang w:val="en-GB" w:eastAsia="cs-CZ"/>
        </w:rPr>
      </w:pPr>
      <w:proofErr w:type="gramStart"/>
      <w:r w:rsidRPr="002133ED">
        <w:rPr>
          <w:rFonts w:asciiTheme="minorHAnsi" w:eastAsia="Times New Roman" w:hAnsiTheme="minorHAnsi" w:cstheme="minorHAnsi"/>
          <w:lang w:val="en-GB" w:eastAsia="cs-CZ"/>
        </w:rPr>
        <w:t>in</w:t>
      </w:r>
      <w:proofErr w:type="gramEnd"/>
      <w:r w:rsidRPr="002133ED">
        <w:rPr>
          <w:rFonts w:asciiTheme="minorHAnsi" w:eastAsia="Times New Roman" w:hAnsiTheme="minorHAnsi" w:cstheme="minorHAnsi"/>
          <w:lang w:val="en-GB" w:eastAsia="cs-CZ"/>
        </w:rPr>
        <w:t xml:space="preserve"> another 16 cases, some other provision of this Act were violated.</w:t>
      </w:r>
    </w:p>
    <w:p w14:paraId="35A020EE" w14:textId="0F8D6A17" w:rsidR="0070227D" w:rsidRPr="002133ED" w:rsidRDefault="002600CA" w:rsidP="0070227D">
      <w:pPr>
        <w:pStyle w:val="Odstavecseseznamem"/>
        <w:shd w:val="clear" w:color="auto" w:fill="FFFFFF" w:themeFill="background1"/>
        <w:spacing w:before="120" w:after="120"/>
        <w:ind w:left="0"/>
        <w:jc w:val="both"/>
        <w:rPr>
          <w:rFonts w:asciiTheme="minorHAnsi" w:hAnsiTheme="minorHAnsi" w:cstheme="minorHAnsi"/>
          <w:lang w:val="en-GB"/>
        </w:rPr>
      </w:pPr>
      <w:r w:rsidRPr="002133ED">
        <w:rPr>
          <w:rFonts w:asciiTheme="minorHAnsi" w:hAnsiTheme="minorHAnsi" w:cstheme="minorHAnsi"/>
          <w:u w:val="single"/>
          <w:lang w:val="en-GB"/>
        </w:rPr>
        <w:br/>
      </w:r>
      <w:r w:rsidR="0070227D" w:rsidRPr="002133ED">
        <w:rPr>
          <w:rFonts w:asciiTheme="minorHAnsi" w:hAnsiTheme="minorHAnsi" w:cstheme="minorHAnsi"/>
          <w:u w:val="single"/>
          <w:lang w:val="en-GB"/>
        </w:rPr>
        <w:t>Violation of Act No. 353/2003 Coll., on Excise Duties, was</w:t>
      </w:r>
      <w:r w:rsidR="0070227D" w:rsidRPr="002133ED">
        <w:rPr>
          <w:rFonts w:asciiTheme="minorHAnsi" w:hAnsiTheme="minorHAnsi" w:cstheme="minorHAnsi"/>
          <w:lang w:val="en-GB"/>
        </w:rPr>
        <w:t xml:space="preserve"> </w:t>
      </w:r>
      <w:r w:rsidR="0070227D" w:rsidRPr="002133ED">
        <w:rPr>
          <w:rFonts w:asciiTheme="minorHAnsi" w:hAnsiTheme="minorHAnsi" w:cstheme="minorHAnsi"/>
          <w:lang w:val="en-GB"/>
        </w:rPr>
        <w:t>seen</w:t>
      </w:r>
      <w:r w:rsidR="0070227D" w:rsidRPr="002133ED">
        <w:rPr>
          <w:rFonts w:asciiTheme="minorHAnsi" w:hAnsiTheme="minorHAnsi" w:cstheme="minorHAnsi"/>
          <w:lang w:val="en-GB"/>
        </w:rPr>
        <w:t xml:space="preserve"> in </w:t>
      </w:r>
      <w:proofErr w:type="gramStart"/>
      <w:r w:rsidR="0070227D" w:rsidRPr="002133ED">
        <w:rPr>
          <w:rFonts w:asciiTheme="minorHAnsi" w:hAnsiTheme="minorHAnsi" w:cstheme="minorHAnsi"/>
          <w:lang w:val="en-GB"/>
        </w:rPr>
        <w:t>6</w:t>
      </w:r>
      <w:proofErr w:type="gramEnd"/>
      <w:r w:rsidR="0070227D" w:rsidRPr="002133ED">
        <w:rPr>
          <w:rFonts w:asciiTheme="minorHAnsi" w:hAnsiTheme="minorHAnsi" w:cstheme="minorHAnsi"/>
          <w:lang w:val="en-GB"/>
        </w:rPr>
        <w:t xml:space="preserve"> cases where, for example, in 4 cases the sale of cigarettes to the final consumer was detected at a price higher than the price stated on the tobacco sticker (</w:t>
      </w:r>
      <w:r w:rsidR="0070227D" w:rsidRPr="002133ED">
        <w:rPr>
          <w:rFonts w:asciiTheme="minorHAnsi" w:hAnsiTheme="minorHAnsi" w:cstheme="minorHAnsi"/>
          <w:lang w:val="en-GB"/>
        </w:rPr>
        <w:t>Section</w:t>
      </w:r>
      <w:r w:rsidR="0070227D" w:rsidRPr="002133ED">
        <w:rPr>
          <w:rFonts w:asciiTheme="minorHAnsi" w:hAnsiTheme="minorHAnsi" w:cstheme="minorHAnsi"/>
          <w:lang w:val="en-GB"/>
        </w:rPr>
        <w:t xml:space="preserve"> 112).</w:t>
      </w:r>
      <w:r w:rsidR="0070227D" w:rsidRPr="002133ED">
        <w:rPr>
          <w:rFonts w:asciiTheme="minorHAnsi" w:hAnsiTheme="minorHAnsi" w:cstheme="minorHAnsi"/>
          <w:lang w:val="en-GB"/>
        </w:rPr>
        <w:t xml:space="preserve"> </w:t>
      </w:r>
    </w:p>
    <w:p w14:paraId="7ED7C9FD" w14:textId="77777777" w:rsidR="0070227D" w:rsidRPr="002133ED" w:rsidRDefault="0070227D" w:rsidP="0070227D">
      <w:pPr>
        <w:pStyle w:val="Odstavecseseznamem"/>
        <w:shd w:val="clear" w:color="auto" w:fill="FFFFFF" w:themeFill="background1"/>
        <w:spacing w:before="120" w:after="120"/>
        <w:ind w:left="0"/>
        <w:jc w:val="both"/>
        <w:rPr>
          <w:rFonts w:asciiTheme="minorHAnsi" w:hAnsiTheme="minorHAnsi" w:cstheme="minorHAnsi"/>
          <w:lang w:val="en-GB"/>
        </w:rPr>
      </w:pPr>
    </w:p>
    <w:p w14:paraId="5B1C14A3" w14:textId="10906C0A" w:rsidR="0070227D" w:rsidRPr="002133ED" w:rsidRDefault="0070227D" w:rsidP="0070227D">
      <w:pPr>
        <w:pStyle w:val="Odstavecseseznamem"/>
        <w:shd w:val="clear" w:color="auto" w:fill="FFFFFF" w:themeFill="background1"/>
        <w:spacing w:before="120" w:after="120"/>
        <w:ind w:left="0"/>
        <w:jc w:val="both"/>
        <w:rPr>
          <w:rFonts w:asciiTheme="minorHAnsi" w:hAnsiTheme="minorHAnsi" w:cstheme="minorHAnsi"/>
          <w:lang w:val="en-GB"/>
        </w:rPr>
      </w:pPr>
      <w:r w:rsidRPr="002133ED">
        <w:rPr>
          <w:rFonts w:asciiTheme="minorHAnsi" w:hAnsiTheme="minorHAnsi" w:cstheme="minorHAnsi"/>
          <w:u w:val="single"/>
          <w:lang w:val="en-GB"/>
        </w:rPr>
        <w:t xml:space="preserve">Violation of any of the provisions of Act No. 634/1992 Coll., on Consumer Protection, was proven in </w:t>
      </w:r>
      <w:proofErr w:type="gramStart"/>
      <w:r w:rsidRPr="002133ED">
        <w:rPr>
          <w:rFonts w:asciiTheme="minorHAnsi" w:hAnsiTheme="minorHAnsi" w:cstheme="minorHAnsi"/>
          <w:u w:val="single"/>
          <w:lang w:val="en-GB"/>
        </w:rPr>
        <w:t>a total of 2,666</w:t>
      </w:r>
      <w:proofErr w:type="gramEnd"/>
      <w:r w:rsidRPr="002133ED">
        <w:rPr>
          <w:rFonts w:asciiTheme="minorHAnsi" w:hAnsiTheme="minorHAnsi" w:cstheme="minorHAnsi"/>
          <w:u w:val="single"/>
          <w:lang w:val="en-GB"/>
        </w:rPr>
        <w:t xml:space="preserve"> cases. </w:t>
      </w:r>
      <w:proofErr w:type="gramStart"/>
      <w:r w:rsidRPr="002133ED">
        <w:rPr>
          <w:rFonts w:asciiTheme="minorHAnsi" w:hAnsiTheme="minorHAnsi" w:cstheme="minorHAnsi"/>
          <w:lang w:val="en-GB"/>
        </w:rPr>
        <w:t xml:space="preserve">The most common infringements (1,099 cases) were </w:t>
      </w:r>
      <w:r w:rsidR="002600CA" w:rsidRPr="002133ED">
        <w:rPr>
          <w:rFonts w:asciiTheme="minorHAnsi" w:hAnsiTheme="minorHAnsi" w:cstheme="minorHAnsi"/>
          <w:lang w:val="en-GB"/>
        </w:rPr>
        <w:t>failures to inform consumers</w:t>
      </w:r>
      <w:r w:rsidRPr="002133ED">
        <w:rPr>
          <w:rFonts w:asciiTheme="minorHAnsi" w:hAnsiTheme="minorHAnsi" w:cstheme="minorHAnsi"/>
          <w:lang w:val="en-GB"/>
        </w:rPr>
        <w:t xml:space="preserve"> of the price of the products and services offered (</w:t>
      </w:r>
      <w:r w:rsidR="002600CA" w:rsidRPr="002133ED">
        <w:rPr>
          <w:rFonts w:asciiTheme="minorHAnsi" w:hAnsiTheme="minorHAnsi" w:cstheme="minorHAnsi"/>
          <w:lang w:val="en-GB"/>
        </w:rPr>
        <w:t>Section</w:t>
      </w:r>
      <w:r w:rsidRPr="002133ED">
        <w:rPr>
          <w:rFonts w:asciiTheme="minorHAnsi" w:hAnsiTheme="minorHAnsi" w:cstheme="minorHAnsi"/>
          <w:lang w:val="en-GB"/>
        </w:rPr>
        <w:t xml:space="preserve"> 12), in 864 cases it was a violation of the principles of fairness of sale (</w:t>
      </w:r>
      <w:r w:rsidR="002600CA" w:rsidRPr="002133ED">
        <w:rPr>
          <w:rFonts w:asciiTheme="minorHAnsi" w:hAnsiTheme="minorHAnsi" w:cstheme="minorHAnsi"/>
          <w:lang w:val="en-GB"/>
        </w:rPr>
        <w:t>Section</w:t>
      </w:r>
      <w:r w:rsidRPr="002133ED">
        <w:rPr>
          <w:rFonts w:asciiTheme="minorHAnsi" w:hAnsiTheme="minorHAnsi" w:cstheme="minorHAnsi"/>
          <w:lang w:val="en-GB"/>
        </w:rPr>
        <w:t xml:space="preserve"> 3) or in 289 cases no proof of purchase of the products was issued, although the consumer requested it or</w:t>
      </w:r>
      <w:r w:rsidR="002600CA" w:rsidRPr="002133ED">
        <w:rPr>
          <w:rFonts w:asciiTheme="minorHAnsi" w:hAnsiTheme="minorHAnsi" w:cstheme="minorHAnsi"/>
          <w:lang w:val="en-GB"/>
        </w:rPr>
        <w:t xml:space="preserve"> they</w:t>
      </w:r>
      <w:r w:rsidRPr="002133ED">
        <w:rPr>
          <w:rFonts w:asciiTheme="minorHAnsi" w:hAnsiTheme="minorHAnsi" w:cstheme="minorHAnsi"/>
          <w:lang w:val="en-GB"/>
        </w:rPr>
        <w:t xml:space="preserve"> issued a document without the </w:t>
      </w:r>
      <w:r w:rsidR="002600CA" w:rsidRPr="002133ED">
        <w:rPr>
          <w:rFonts w:asciiTheme="minorHAnsi" w:hAnsiTheme="minorHAnsi" w:cstheme="minorHAnsi"/>
          <w:lang w:val="en-GB"/>
        </w:rPr>
        <w:t>requirements (</w:t>
      </w:r>
      <w:r w:rsidR="002600CA" w:rsidRPr="002133ED">
        <w:rPr>
          <w:rFonts w:asciiTheme="minorHAnsi" w:hAnsiTheme="minorHAnsi" w:cstheme="minorHAnsi"/>
          <w:lang w:val="en-GB"/>
        </w:rPr>
        <w:t xml:space="preserve">Section </w:t>
      </w:r>
      <w:r w:rsidRPr="002133ED">
        <w:rPr>
          <w:rFonts w:asciiTheme="minorHAnsi" w:hAnsiTheme="minorHAnsi" w:cstheme="minorHAnsi"/>
          <w:lang w:val="en-GB"/>
        </w:rPr>
        <w:t>16).</w:t>
      </w:r>
      <w:proofErr w:type="gramEnd"/>
      <w:r w:rsidRPr="002133ED">
        <w:rPr>
          <w:rFonts w:asciiTheme="minorHAnsi" w:hAnsiTheme="minorHAnsi" w:cstheme="minorHAnsi"/>
          <w:lang w:val="en-GB"/>
        </w:rPr>
        <w:t xml:space="preserve"> Violations of other provisions of the Consumer Protection Act </w:t>
      </w:r>
      <w:proofErr w:type="gramStart"/>
      <w:r w:rsidRPr="002133ED">
        <w:rPr>
          <w:rFonts w:asciiTheme="minorHAnsi" w:hAnsiTheme="minorHAnsi" w:cstheme="minorHAnsi"/>
          <w:lang w:val="en-GB"/>
        </w:rPr>
        <w:t>have been identified</w:t>
      </w:r>
      <w:proofErr w:type="gramEnd"/>
      <w:r w:rsidRPr="002133ED">
        <w:rPr>
          <w:rFonts w:asciiTheme="minorHAnsi" w:hAnsiTheme="minorHAnsi" w:cstheme="minorHAnsi"/>
          <w:lang w:val="en-GB"/>
        </w:rPr>
        <w:t xml:space="preserve"> in smaller numbers.</w:t>
      </w:r>
    </w:p>
    <w:p w14:paraId="682F67F0" w14:textId="77777777" w:rsidR="0070227D" w:rsidRPr="002133ED" w:rsidRDefault="0070227D" w:rsidP="0070227D">
      <w:pPr>
        <w:pStyle w:val="Odstavecseseznamem"/>
        <w:shd w:val="clear" w:color="auto" w:fill="FFFFFF" w:themeFill="background1"/>
        <w:spacing w:before="120" w:after="120"/>
        <w:ind w:left="0"/>
        <w:jc w:val="both"/>
        <w:rPr>
          <w:rFonts w:asciiTheme="minorHAnsi" w:hAnsiTheme="minorHAnsi" w:cstheme="minorHAnsi"/>
          <w:lang w:val="en-GB"/>
        </w:rPr>
      </w:pPr>
    </w:p>
    <w:p w14:paraId="165FCD7E" w14:textId="3C9CB799" w:rsidR="0070227D" w:rsidRPr="002133ED" w:rsidRDefault="0070227D" w:rsidP="0070227D">
      <w:pPr>
        <w:pStyle w:val="Odstavecseseznamem"/>
        <w:shd w:val="clear" w:color="auto" w:fill="FFFFFF" w:themeFill="background1"/>
        <w:spacing w:before="120" w:after="120"/>
        <w:ind w:left="0"/>
        <w:jc w:val="both"/>
        <w:rPr>
          <w:rFonts w:asciiTheme="minorHAnsi" w:hAnsiTheme="minorHAnsi" w:cstheme="minorHAnsi"/>
          <w:lang w:val="en-GB"/>
        </w:rPr>
      </w:pPr>
      <w:r w:rsidRPr="002133ED">
        <w:rPr>
          <w:rFonts w:asciiTheme="minorHAnsi" w:hAnsiTheme="minorHAnsi" w:cstheme="minorHAnsi"/>
          <w:lang w:val="en-GB"/>
        </w:rPr>
        <w:t xml:space="preserve">In 102 cases, </w:t>
      </w:r>
      <w:r w:rsidR="002600CA" w:rsidRPr="002133ED">
        <w:rPr>
          <w:rFonts w:asciiTheme="minorHAnsi" w:hAnsiTheme="minorHAnsi" w:cstheme="minorHAnsi"/>
          <w:lang w:val="en-GB"/>
        </w:rPr>
        <w:t xml:space="preserve">traders breached the </w:t>
      </w:r>
      <w:r w:rsidRPr="002133ED">
        <w:rPr>
          <w:rFonts w:asciiTheme="minorHAnsi" w:hAnsiTheme="minorHAnsi" w:cstheme="minorHAnsi"/>
          <w:lang w:val="en-GB"/>
        </w:rPr>
        <w:t xml:space="preserve">Act No. 22/1997 Coll., on </w:t>
      </w:r>
      <w:r w:rsidR="002600CA" w:rsidRPr="002133ED">
        <w:rPr>
          <w:rFonts w:asciiTheme="minorHAnsi" w:hAnsiTheme="minorHAnsi" w:cstheme="minorHAnsi"/>
          <w:lang w:val="en-GB"/>
        </w:rPr>
        <w:t>T</w:t>
      </w:r>
      <w:r w:rsidRPr="002133ED">
        <w:rPr>
          <w:rFonts w:asciiTheme="minorHAnsi" w:hAnsiTheme="minorHAnsi" w:cstheme="minorHAnsi"/>
          <w:lang w:val="en-GB"/>
        </w:rPr>
        <w:t xml:space="preserve">echnical </w:t>
      </w:r>
      <w:r w:rsidR="002600CA" w:rsidRPr="002133ED">
        <w:rPr>
          <w:rFonts w:asciiTheme="minorHAnsi" w:hAnsiTheme="minorHAnsi" w:cstheme="minorHAnsi"/>
          <w:lang w:val="en-GB"/>
        </w:rPr>
        <w:t>R</w:t>
      </w:r>
      <w:r w:rsidRPr="002133ED">
        <w:rPr>
          <w:rFonts w:asciiTheme="minorHAnsi" w:hAnsiTheme="minorHAnsi" w:cstheme="minorHAnsi"/>
          <w:lang w:val="en-GB"/>
        </w:rPr>
        <w:t xml:space="preserve">equirements for </w:t>
      </w:r>
      <w:r w:rsidR="002600CA" w:rsidRPr="002133ED">
        <w:rPr>
          <w:rFonts w:asciiTheme="minorHAnsi" w:hAnsiTheme="minorHAnsi" w:cstheme="minorHAnsi"/>
          <w:lang w:val="en-GB"/>
        </w:rPr>
        <w:t>P</w:t>
      </w:r>
      <w:r w:rsidRPr="002133ED">
        <w:rPr>
          <w:rFonts w:asciiTheme="minorHAnsi" w:hAnsiTheme="minorHAnsi" w:cstheme="minorHAnsi"/>
          <w:lang w:val="en-GB"/>
        </w:rPr>
        <w:t>roducts, as amended, Regulation (EU) No. 22/1997 of the European Parliament and of the Council.</w:t>
      </w:r>
      <w:r w:rsidR="002600CA" w:rsidRPr="002133ED">
        <w:rPr>
          <w:rFonts w:asciiTheme="minorHAnsi" w:hAnsiTheme="minorHAnsi" w:cstheme="minorHAnsi"/>
          <w:lang w:val="en-GB"/>
        </w:rPr>
        <w:t xml:space="preserve"> </w:t>
      </w:r>
      <w:proofErr w:type="gramStart"/>
      <w:r w:rsidR="002600CA" w:rsidRPr="002133ED">
        <w:rPr>
          <w:rFonts w:asciiTheme="minorHAnsi" w:hAnsiTheme="minorHAnsi" w:cstheme="minorHAnsi"/>
          <w:lang w:val="en-GB"/>
        </w:rPr>
        <w:t xml:space="preserve">1007/2011 </w:t>
      </w:r>
      <w:r w:rsidR="002600CA" w:rsidRPr="002133ED">
        <w:rPr>
          <w:rFonts w:ascii="Segoe UI" w:hAnsi="Segoe UI" w:cs="Segoe UI"/>
          <w:color w:val="444444"/>
          <w:sz w:val="21"/>
          <w:szCs w:val="21"/>
          <w:shd w:val="clear" w:color="auto" w:fill="FFFFFF"/>
          <w:lang w:val="en-GB"/>
        </w:rPr>
        <w:t>textile fibre names and related labelling and marking of the fibre composition of textile products and repealing Council Directive 73/44/EEC and Directives 96/73/EC and 2008/121/EC of the European Parliament and of th</w:t>
      </w:r>
      <w:r w:rsidR="002600CA" w:rsidRPr="002133ED">
        <w:rPr>
          <w:rFonts w:ascii="Segoe UI" w:hAnsi="Segoe UI" w:cs="Segoe UI"/>
          <w:color w:val="444444"/>
          <w:sz w:val="21"/>
          <w:szCs w:val="21"/>
          <w:shd w:val="clear" w:color="auto" w:fill="FFFFFF"/>
          <w:lang w:val="en-GB"/>
        </w:rPr>
        <w:t xml:space="preserve">e Council, </w:t>
      </w:r>
      <w:r w:rsidRPr="002133ED">
        <w:rPr>
          <w:rFonts w:asciiTheme="minorHAnsi" w:hAnsiTheme="minorHAnsi" w:cstheme="minorHAnsi"/>
          <w:lang w:val="en-GB"/>
        </w:rPr>
        <w:t xml:space="preserve">and, in 74 cases, infringements of other </w:t>
      </w:r>
      <w:r w:rsidR="002600CA" w:rsidRPr="002133ED">
        <w:rPr>
          <w:rFonts w:asciiTheme="minorHAnsi" w:hAnsiTheme="minorHAnsi" w:cstheme="minorHAnsi"/>
          <w:lang w:val="en-GB"/>
        </w:rPr>
        <w:t>legal regulations</w:t>
      </w:r>
      <w:r w:rsidRPr="002133ED">
        <w:rPr>
          <w:rFonts w:asciiTheme="minorHAnsi" w:hAnsiTheme="minorHAnsi" w:cstheme="minorHAnsi"/>
          <w:lang w:val="en-GB"/>
        </w:rPr>
        <w:t xml:space="preserve"> within the supervisory competence of the Czech Trade Inspection Authority were </w:t>
      </w:r>
      <w:r w:rsidR="002600CA" w:rsidRPr="002133ED">
        <w:rPr>
          <w:rFonts w:asciiTheme="minorHAnsi" w:hAnsiTheme="minorHAnsi" w:cstheme="minorHAnsi"/>
          <w:lang w:val="en-GB"/>
        </w:rPr>
        <w:t>found</w:t>
      </w:r>
      <w:r w:rsidRPr="002133ED">
        <w:rPr>
          <w:rFonts w:asciiTheme="minorHAnsi" w:hAnsiTheme="minorHAnsi" w:cstheme="minorHAnsi"/>
          <w:lang w:val="en-GB"/>
        </w:rPr>
        <w:t>.</w:t>
      </w:r>
      <w:proofErr w:type="gramEnd"/>
      <w:r w:rsidRPr="002133ED">
        <w:rPr>
          <w:rFonts w:asciiTheme="minorHAnsi" w:hAnsiTheme="minorHAnsi" w:cstheme="minorHAnsi"/>
          <w:lang w:val="en-GB"/>
        </w:rPr>
        <w:t xml:space="preserve"> </w:t>
      </w:r>
    </w:p>
    <w:p w14:paraId="6460FD5E" w14:textId="77777777" w:rsidR="0070227D" w:rsidRPr="002133ED" w:rsidRDefault="0070227D" w:rsidP="0070227D">
      <w:pPr>
        <w:pStyle w:val="Odstavecseseznamem"/>
        <w:shd w:val="clear" w:color="auto" w:fill="FFFFFF" w:themeFill="background1"/>
        <w:spacing w:before="120" w:after="120"/>
        <w:ind w:left="0"/>
        <w:jc w:val="both"/>
        <w:rPr>
          <w:rFonts w:asciiTheme="minorHAnsi" w:hAnsiTheme="minorHAnsi" w:cstheme="minorHAnsi"/>
          <w:lang w:val="en-GB"/>
        </w:rPr>
      </w:pPr>
    </w:p>
    <w:p w14:paraId="5FAAE95D" w14:textId="2142750A" w:rsidR="0070227D" w:rsidRPr="002133ED" w:rsidRDefault="002600CA" w:rsidP="0070227D">
      <w:pPr>
        <w:pStyle w:val="Odstavecseseznamem"/>
        <w:shd w:val="clear" w:color="auto" w:fill="FFFFFF" w:themeFill="background1"/>
        <w:spacing w:before="120" w:after="120"/>
        <w:ind w:left="0"/>
        <w:jc w:val="both"/>
        <w:rPr>
          <w:rFonts w:asciiTheme="minorHAnsi" w:hAnsiTheme="minorHAnsi" w:cstheme="minorHAnsi"/>
          <w:lang w:val="en-GB"/>
        </w:rPr>
      </w:pPr>
      <w:r w:rsidRPr="002133ED">
        <w:rPr>
          <w:rFonts w:asciiTheme="minorHAnsi" w:hAnsiTheme="minorHAnsi" w:cstheme="minorHAnsi"/>
          <w:lang w:val="en-GB"/>
        </w:rPr>
        <w:t xml:space="preserve">Within some </w:t>
      </w:r>
      <w:proofErr w:type="spellStart"/>
      <w:r w:rsidRPr="002133ED">
        <w:rPr>
          <w:rFonts w:asciiTheme="minorHAnsi" w:hAnsiTheme="minorHAnsi" w:cstheme="minorHAnsi"/>
          <w:lang w:val="en-GB"/>
        </w:rPr>
        <w:t>inspections</w:t>
      </w:r>
      <w:r w:rsidR="0070227D" w:rsidRPr="002133ED">
        <w:rPr>
          <w:rFonts w:asciiTheme="minorHAnsi" w:hAnsiTheme="minorHAnsi" w:cstheme="minorHAnsi"/>
          <w:lang w:val="en-GB"/>
        </w:rPr>
        <w:t>s</w:t>
      </w:r>
      <w:proofErr w:type="spellEnd"/>
      <w:r w:rsidR="0070227D" w:rsidRPr="002133ED">
        <w:rPr>
          <w:rFonts w:asciiTheme="minorHAnsi" w:hAnsiTheme="minorHAnsi" w:cstheme="minorHAnsi"/>
          <w:lang w:val="en-GB"/>
        </w:rPr>
        <w:t xml:space="preserve">, violations of several laws or individual provisions </w:t>
      </w:r>
      <w:proofErr w:type="gramStart"/>
      <w:r w:rsidRPr="002133ED">
        <w:rPr>
          <w:rFonts w:asciiTheme="minorHAnsi" w:hAnsiTheme="minorHAnsi" w:cstheme="minorHAnsi"/>
          <w:lang w:val="en-GB"/>
        </w:rPr>
        <w:t>were</w:t>
      </w:r>
      <w:r w:rsidR="0070227D" w:rsidRPr="002133ED">
        <w:rPr>
          <w:rFonts w:asciiTheme="minorHAnsi" w:hAnsiTheme="minorHAnsi" w:cstheme="minorHAnsi"/>
          <w:lang w:val="en-GB"/>
        </w:rPr>
        <w:t xml:space="preserve"> detected</w:t>
      </w:r>
      <w:proofErr w:type="gramEnd"/>
      <w:r w:rsidR="0070227D" w:rsidRPr="002133ED">
        <w:rPr>
          <w:rFonts w:asciiTheme="minorHAnsi" w:hAnsiTheme="minorHAnsi" w:cstheme="minorHAnsi"/>
          <w:lang w:val="en-GB"/>
        </w:rPr>
        <w:t xml:space="preserve"> at the same time.</w:t>
      </w:r>
    </w:p>
    <w:p w14:paraId="0D90CC9D" w14:textId="77777777" w:rsidR="002600CA" w:rsidRPr="002133ED" w:rsidRDefault="002600CA" w:rsidP="0070227D">
      <w:pPr>
        <w:pStyle w:val="Odstavecseseznamem"/>
        <w:shd w:val="clear" w:color="auto" w:fill="FFFFFF" w:themeFill="background1"/>
        <w:spacing w:before="120" w:after="120"/>
        <w:ind w:left="0"/>
        <w:jc w:val="both"/>
        <w:rPr>
          <w:rFonts w:asciiTheme="minorHAnsi" w:hAnsiTheme="minorHAnsi" w:cstheme="minorHAnsi"/>
          <w:lang w:val="en-GB"/>
        </w:rPr>
      </w:pPr>
    </w:p>
    <w:p w14:paraId="6BC9860A" w14:textId="72FCA535" w:rsidR="0010703D" w:rsidRPr="002133ED" w:rsidRDefault="002600CA" w:rsidP="004512B2">
      <w:pPr>
        <w:spacing w:before="120" w:after="120" w:line="276" w:lineRule="auto"/>
        <w:jc w:val="both"/>
        <w:rPr>
          <w:rFonts w:asciiTheme="minorHAnsi" w:hAnsiTheme="minorHAnsi" w:cstheme="minorHAnsi"/>
          <w:b/>
          <w:sz w:val="22"/>
          <w:szCs w:val="22"/>
          <w:lang w:val="en-GB"/>
        </w:rPr>
      </w:pPr>
      <w:r w:rsidRPr="002133ED">
        <w:rPr>
          <w:rFonts w:asciiTheme="minorHAnsi" w:hAnsiTheme="minorHAnsi" w:cstheme="minorHAnsi"/>
          <w:b/>
          <w:sz w:val="22"/>
          <w:szCs w:val="22"/>
          <w:lang w:val="en-GB"/>
        </w:rPr>
        <w:t>Imposed measures</w:t>
      </w:r>
    </w:p>
    <w:p w14:paraId="51BBDDA7" w14:textId="130BE977" w:rsidR="002600CA" w:rsidRPr="002133ED" w:rsidRDefault="002600CA" w:rsidP="004512B2">
      <w:pPr>
        <w:spacing w:before="120" w:after="120" w:line="276" w:lineRule="auto"/>
        <w:jc w:val="both"/>
        <w:rPr>
          <w:rFonts w:asciiTheme="minorHAnsi" w:hAnsiTheme="minorHAnsi" w:cstheme="minorHAnsi"/>
          <w:sz w:val="22"/>
          <w:szCs w:val="22"/>
          <w:lang w:val="en-GB"/>
        </w:rPr>
      </w:pPr>
      <w:r w:rsidRPr="002133ED">
        <w:rPr>
          <w:rFonts w:asciiTheme="minorHAnsi" w:hAnsiTheme="minorHAnsi" w:cstheme="minorHAnsi"/>
          <w:sz w:val="22"/>
          <w:szCs w:val="22"/>
          <w:lang w:val="en-GB"/>
        </w:rPr>
        <w:t xml:space="preserve">During this period, the Czech Trade Inspection Authority finally imposed 2,175 fines totalling CZK 24,834,100. </w:t>
      </w:r>
      <w:proofErr w:type="gramStart"/>
      <w:r w:rsidRPr="002133ED">
        <w:rPr>
          <w:rFonts w:asciiTheme="minorHAnsi" w:hAnsiTheme="minorHAnsi" w:cstheme="minorHAnsi"/>
          <w:sz w:val="22"/>
          <w:szCs w:val="22"/>
          <w:lang w:val="en-GB"/>
        </w:rPr>
        <w:t xml:space="preserve">For breaches of the obligations laid down by the special regulations, the inspection action imposed a ban on the sale of 3,780 pieces of products with a total value of CZK 204,642.70 and a ban on the use of 287 uncertified measuring </w:t>
      </w:r>
      <w:proofErr w:type="spellStart"/>
      <w:r w:rsidRPr="002133ED">
        <w:rPr>
          <w:rFonts w:asciiTheme="minorHAnsi" w:hAnsiTheme="minorHAnsi" w:cstheme="minorHAnsi"/>
          <w:sz w:val="22"/>
          <w:szCs w:val="22"/>
          <w:lang w:val="en-GB"/>
        </w:rPr>
        <w:t>instrukements</w:t>
      </w:r>
      <w:proofErr w:type="spellEnd"/>
      <w:r w:rsidRPr="002133ED">
        <w:rPr>
          <w:rFonts w:asciiTheme="minorHAnsi" w:hAnsiTheme="minorHAnsi" w:cstheme="minorHAnsi"/>
          <w:sz w:val="22"/>
          <w:szCs w:val="22"/>
          <w:lang w:val="en-GB"/>
        </w:rPr>
        <w:t xml:space="preserve"> that did not comply with generally binding legal regulations, technical standards, other technical regulations or an approved type.</w:t>
      </w:r>
      <w:proofErr w:type="gramEnd"/>
    </w:p>
    <w:sectPr w:rsidR="002600CA" w:rsidRPr="002133ED" w:rsidSect="00362969">
      <w:footerReference w:type="default" r:id="rId9"/>
      <w:pgSz w:w="12240" w:h="15800"/>
      <w:pgMar w:top="1417" w:right="1417" w:bottom="1417" w:left="1417" w:header="113" w:footer="0"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04AE9" w16cex:dateUtc="2021-01-30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D3E6CA" w16cid:durableId="23C04A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2D132" w14:textId="77777777" w:rsidR="0031047F" w:rsidRDefault="0031047F" w:rsidP="00185D99">
      <w:r>
        <w:separator/>
      </w:r>
    </w:p>
  </w:endnote>
  <w:endnote w:type="continuationSeparator" w:id="0">
    <w:p w14:paraId="00A495F9" w14:textId="77777777" w:rsidR="0031047F" w:rsidRDefault="0031047F" w:rsidP="00185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B0BF" w14:textId="3B951A9C" w:rsidR="00F33B71" w:rsidRPr="000F5794" w:rsidRDefault="000F5794" w:rsidP="000F5794">
    <w:pPr>
      <w:pStyle w:val="Zpat"/>
      <w:rPr>
        <w:lang w:val="en-GB"/>
      </w:rPr>
    </w:pPr>
    <w:r w:rsidRPr="006E4950">
      <w:rPr>
        <w:b/>
        <w:i/>
        <w:color w:val="808080"/>
        <w:sz w:val="18"/>
        <w:szCs w:val="18"/>
        <w:lang w:val="en-GB"/>
      </w:rPr>
      <w:t>Contact:</w:t>
    </w:r>
    <w:r>
      <w:rPr>
        <w:b/>
        <w:i/>
        <w:color w:val="808080"/>
        <w:sz w:val="18"/>
        <w:szCs w:val="18"/>
        <w:lang w:val="en-GB"/>
      </w:rPr>
      <w:t xml:space="preserve">       </w:t>
    </w:r>
    <w:r w:rsidRPr="00E87AFF">
      <w:rPr>
        <w:color w:val="808080"/>
        <w:sz w:val="18"/>
        <w:szCs w:val="18"/>
        <w:lang w:val="en-GB"/>
      </w:rPr>
      <w:t>Spokesperson of the CTIA</w:t>
    </w:r>
    <w:r w:rsidRPr="006E4950">
      <w:rPr>
        <w:color w:val="808080"/>
        <w:sz w:val="18"/>
        <w:szCs w:val="18"/>
        <w:lang w:val="en-GB"/>
      </w:rPr>
      <w:tab/>
      <w:t xml:space="preserve">                                                            </w:t>
    </w:r>
    <w:r w:rsidRPr="006E4950">
      <w:rPr>
        <w:b/>
        <w:i/>
        <w:color w:val="808080"/>
        <w:sz w:val="18"/>
        <w:szCs w:val="18"/>
        <w:lang w:val="en-GB"/>
      </w:rPr>
      <w:t>Phone:</w:t>
    </w:r>
    <w:r w:rsidRPr="006E4950">
      <w:rPr>
        <w:i/>
        <w:color w:val="808080"/>
        <w:sz w:val="18"/>
        <w:szCs w:val="18"/>
        <w:lang w:val="en-GB"/>
      </w:rPr>
      <w:tab/>
      <w:t xml:space="preserve">+420 296 366 233  </w:t>
    </w:r>
    <w:r w:rsidRPr="006E4950">
      <w:rPr>
        <w:color w:val="808080"/>
        <w:sz w:val="18"/>
        <w:szCs w:val="18"/>
        <w:lang w:val="en-GB"/>
      </w:rPr>
      <w:br/>
    </w:r>
    <w:r>
      <w:rPr>
        <w:color w:val="808080"/>
        <w:sz w:val="18"/>
        <w:szCs w:val="18"/>
        <w:lang w:val="en-GB"/>
      </w:rPr>
      <w:t xml:space="preserve">                       </w:t>
    </w:r>
    <w:r w:rsidRPr="006E4950">
      <w:rPr>
        <w:color w:val="808080"/>
        <w:sz w:val="18"/>
        <w:szCs w:val="18"/>
        <w:lang w:val="en-GB"/>
      </w:rPr>
      <w:t>Mgr. Jiří Fröhlich</w:t>
    </w:r>
    <w:r w:rsidRPr="006E4950">
      <w:rPr>
        <w:i/>
        <w:color w:val="808080"/>
        <w:sz w:val="18"/>
        <w:szCs w:val="18"/>
        <w:lang w:val="en-GB"/>
      </w:rPr>
      <w:tab/>
      <w:t xml:space="preserve">                                                            </w:t>
    </w:r>
    <w:r w:rsidRPr="006E4950">
      <w:rPr>
        <w:b/>
        <w:i/>
        <w:color w:val="808080"/>
        <w:sz w:val="18"/>
        <w:szCs w:val="18"/>
        <w:lang w:val="en-GB"/>
      </w:rPr>
      <w:t>Mobile:</w:t>
    </w:r>
    <w:r w:rsidRPr="006E4950">
      <w:rPr>
        <w:i/>
        <w:color w:val="808080"/>
        <w:sz w:val="18"/>
        <w:szCs w:val="18"/>
        <w:lang w:val="en-GB"/>
      </w:rPr>
      <w:t xml:space="preserve"> </w:t>
    </w:r>
    <w:r w:rsidRPr="006E4950">
      <w:rPr>
        <w:i/>
        <w:color w:val="808080"/>
        <w:sz w:val="18"/>
        <w:szCs w:val="18"/>
        <w:lang w:val="en-GB"/>
      </w:rPr>
      <w:tab/>
      <w:t>+420 602 105 376</w:t>
    </w:r>
    <w:r w:rsidRPr="006E4950">
      <w:rPr>
        <w:i/>
        <w:color w:val="808080"/>
        <w:sz w:val="18"/>
        <w:szCs w:val="18"/>
        <w:lang w:val="en-GB"/>
      </w:rPr>
      <w:br/>
    </w:r>
    <w:r w:rsidRPr="006E4950">
      <w:rPr>
        <w:i/>
        <w:color w:val="808080"/>
        <w:sz w:val="18"/>
        <w:szCs w:val="18"/>
        <w:lang w:val="en-GB"/>
      </w:rPr>
      <w:tab/>
      <w:t xml:space="preserve">                                                            </w:t>
    </w:r>
    <w:r w:rsidRPr="006E4950">
      <w:rPr>
        <w:b/>
        <w:i/>
        <w:color w:val="808080"/>
        <w:sz w:val="18"/>
        <w:szCs w:val="18"/>
        <w:lang w:val="en-GB"/>
      </w:rPr>
      <w:t>E-mail:</w:t>
    </w:r>
    <w:r w:rsidRPr="006E4950">
      <w:rPr>
        <w:i/>
        <w:color w:val="808080"/>
        <w:sz w:val="18"/>
        <w:szCs w:val="18"/>
        <w:lang w:val="en-GB"/>
      </w:rPr>
      <w:tab/>
      <w:t>mluvci@coi.cz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832F9" w14:textId="77777777" w:rsidR="0031047F" w:rsidRDefault="0031047F" w:rsidP="00185D99">
      <w:r>
        <w:separator/>
      </w:r>
    </w:p>
  </w:footnote>
  <w:footnote w:type="continuationSeparator" w:id="0">
    <w:p w14:paraId="2B8A2C3D" w14:textId="77777777" w:rsidR="0031047F" w:rsidRDefault="0031047F" w:rsidP="00185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5A4E"/>
    <w:multiLevelType w:val="hybridMultilevel"/>
    <w:tmpl w:val="56546E02"/>
    <w:lvl w:ilvl="0" w:tplc="47063CE0">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D372A1"/>
    <w:multiLevelType w:val="hybridMultilevel"/>
    <w:tmpl w:val="EF90E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CB38B2"/>
    <w:multiLevelType w:val="hybridMultilevel"/>
    <w:tmpl w:val="668EB3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B30630"/>
    <w:multiLevelType w:val="multilevel"/>
    <w:tmpl w:val="9E56D7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2C4E4C"/>
    <w:multiLevelType w:val="hybridMultilevel"/>
    <w:tmpl w:val="034A8C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5A69C9"/>
    <w:multiLevelType w:val="hybridMultilevel"/>
    <w:tmpl w:val="8C6C6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9E401B7"/>
    <w:multiLevelType w:val="hybridMultilevel"/>
    <w:tmpl w:val="E21E1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EE6540"/>
    <w:multiLevelType w:val="hybridMultilevel"/>
    <w:tmpl w:val="48901C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0E3739"/>
    <w:multiLevelType w:val="hybridMultilevel"/>
    <w:tmpl w:val="638C72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ED3E89"/>
    <w:multiLevelType w:val="hybridMultilevel"/>
    <w:tmpl w:val="A80E8D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6A6CA0"/>
    <w:multiLevelType w:val="hybridMultilevel"/>
    <w:tmpl w:val="2B166E5C"/>
    <w:lvl w:ilvl="0" w:tplc="BFDCDC12">
      <w:numFmt w:val="bullet"/>
      <w:lvlText w:val="-"/>
      <w:lvlJc w:val="left"/>
      <w:pPr>
        <w:ind w:left="420" w:hanging="360"/>
      </w:pPr>
      <w:rPr>
        <w:rFonts w:ascii="Times New Roman" w:eastAsia="Times New Roman" w:hAnsi="Times New Roman" w:cs="Times New Roman" w:hint="default"/>
        <w:b w:val="0"/>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1" w15:restartNumberingAfterBreak="0">
    <w:nsid w:val="22931A01"/>
    <w:multiLevelType w:val="hybridMultilevel"/>
    <w:tmpl w:val="B4BE8C5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9304DAB"/>
    <w:multiLevelType w:val="hybridMultilevel"/>
    <w:tmpl w:val="ACAA950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DE56DF"/>
    <w:multiLevelType w:val="hybridMultilevel"/>
    <w:tmpl w:val="CB10E20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4A01105"/>
    <w:multiLevelType w:val="hybridMultilevel"/>
    <w:tmpl w:val="5296B4C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B4E5CF9"/>
    <w:multiLevelType w:val="hybridMultilevel"/>
    <w:tmpl w:val="456804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B8649E"/>
    <w:multiLevelType w:val="hybridMultilevel"/>
    <w:tmpl w:val="9E56D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7E77F1"/>
    <w:multiLevelType w:val="hybridMultilevel"/>
    <w:tmpl w:val="59AED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703B91"/>
    <w:multiLevelType w:val="hybridMultilevel"/>
    <w:tmpl w:val="F6AE0D16"/>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5010092"/>
    <w:multiLevelType w:val="hybridMultilevel"/>
    <w:tmpl w:val="AD644B26"/>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02459C"/>
    <w:multiLevelType w:val="hybridMultilevel"/>
    <w:tmpl w:val="BF26C20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064F24"/>
    <w:multiLevelType w:val="hybridMultilevel"/>
    <w:tmpl w:val="DD78E5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955340"/>
    <w:multiLevelType w:val="hybridMultilevel"/>
    <w:tmpl w:val="893426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3FE6E50"/>
    <w:multiLevelType w:val="hybridMultilevel"/>
    <w:tmpl w:val="E80E1082"/>
    <w:lvl w:ilvl="0" w:tplc="6E0E86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2A4B21"/>
    <w:multiLevelType w:val="hybridMultilevel"/>
    <w:tmpl w:val="EFC4CD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AD57626"/>
    <w:multiLevelType w:val="hybridMultilevel"/>
    <w:tmpl w:val="B1E412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C21CED"/>
    <w:multiLevelType w:val="hybridMultilevel"/>
    <w:tmpl w:val="E312DA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680C7F"/>
    <w:multiLevelType w:val="hybridMultilevel"/>
    <w:tmpl w:val="4572A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4331A1"/>
    <w:multiLevelType w:val="hybridMultilevel"/>
    <w:tmpl w:val="40C406A4"/>
    <w:lvl w:ilvl="0" w:tplc="E45EA7D8">
      <w:numFmt w:val="bullet"/>
      <w:lvlText w:val=""/>
      <w:lvlJc w:val="left"/>
      <w:pPr>
        <w:ind w:left="720" w:hanging="360"/>
      </w:pPr>
      <w:rPr>
        <w:rFonts w:ascii="Symbol" w:eastAsia="Times New Roman"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1D3794"/>
    <w:multiLevelType w:val="hybridMultilevel"/>
    <w:tmpl w:val="B0ECCF5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3994148"/>
    <w:multiLevelType w:val="hybridMultilevel"/>
    <w:tmpl w:val="585C267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47104F9"/>
    <w:multiLevelType w:val="hybridMultilevel"/>
    <w:tmpl w:val="C9F447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AB2A02"/>
    <w:multiLevelType w:val="hybridMultilevel"/>
    <w:tmpl w:val="95765C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6C27599"/>
    <w:multiLevelType w:val="hybridMultilevel"/>
    <w:tmpl w:val="E2A677C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8B345F"/>
    <w:multiLevelType w:val="hybridMultilevel"/>
    <w:tmpl w:val="C9869E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ABA3807"/>
    <w:multiLevelType w:val="hybridMultilevel"/>
    <w:tmpl w:val="43D25C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C442AE2"/>
    <w:multiLevelType w:val="hybridMultilevel"/>
    <w:tmpl w:val="A5AC5AA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4B09A8"/>
    <w:multiLevelType w:val="hybridMultilevel"/>
    <w:tmpl w:val="EC7E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AB2984"/>
    <w:multiLevelType w:val="hybridMultilevel"/>
    <w:tmpl w:val="EF8EB6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14956DD"/>
    <w:multiLevelType w:val="hybridMultilevel"/>
    <w:tmpl w:val="FF88C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1727321"/>
    <w:multiLevelType w:val="hybridMultilevel"/>
    <w:tmpl w:val="10AA8FC0"/>
    <w:lvl w:ilvl="0" w:tplc="8FCE5D5C">
      <w:numFmt w:val="bullet"/>
      <w:lvlText w:val="-"/>
      <w:lvlJc w:val="left"/>
      <w:pPr>
        <w:ind w:left="720" w:hanging="360"/>
      </w:pPr>
      <w:rPr>
        <w:rFonts w:ascii="Arial" w:eastAsia="Calibri"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2BE45A3"/>
    <w:multiLevelType w:val="hybridMultilevel"/>
    <w:tmpl w:val="972E5E8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3270158"/>
    <w:multiLevelType w:val="hybridMultilevel"/>
    <w:tmpl w:val="57AE28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86E7042"/>
    <w:multiLevelType w:val="hybridMultilevel"/>
    <w:tmpl w:val="B34CD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14"/>
  </w:num>
  <w:num w:numId="4">
    <w:abstractNumId w:val="31"/>
  </w:num>
  <w:num w:numId="5">
    <w:abstractNumId w:val="36"/>
  </w:num>
  <w:num w:numId="6">
    <w:abstractNumId w:val="5"/>
  </w:num>
  <w:num w:numId="7">
    <w:abstractNumId w:val="13"/>
  </w:num>
  <w:num w:numId="8">
    <w:abstractNumId w:val="12"/>
  </w:num>
  <w:num w:numId="9">
    <w:abstractNumId w:val="34"/>
  </w:num>
  <w:num w:numId="10">
    <w:abstractNumId w:val="4"/>
  </w:num>
  <w:num w:numId="11">
    <w:abstractNumId w:val="23"/>
  </w:num>
  <w:num w:numId="12">
    <w:abstractNumId w:val="10"/>
  </w:num>
  <w:num w:numId="13">
    <w:abstractNumId w:val="27"/>
  </w:num>
  <w:num w:numId="14">
    <w:abstractNumId w:val="17"/>
  </w:num>
  <w:num w:numId="15">
    <w:abstractNumId w:val="25"/>
  </w:num>
  <w:num w:numId="16">
    <w:abstractNumId w:val="18"/>
  </w:num>
  <w:num w:numId="17">
    <w:abstractNumId w:val="18"/>
  </w:num>
  <w:num w:numId="18">
    <w:abstractNumId w:val="8"/>
  </w:num>
  <w:num w:numId="19">
    <w:abstractNumId w:val="41"/>
  </w:num>
  <w:num w:numId="20">
    <w:abstractNumId w:val="26"/>
  </w:num>
  <w:num w:numId="21">
    <w:abstractNumId w:val="22"/>
  </w:num>
  <w:num w:numId="22">
    <w:abstractNumId w:val="30"/>
  </w:num>
  <w:num w:numId="23">
    <w:abstractNumId w:val="21"/>
  </w:num>
  <w:num w:numId="24">
    <w:abstractNumId w:val="16"/>
  </w:num>
  <w:num w:numId="25">
    <w:abstractNumId w:val="3"/>
  </w:num>
  <w:num w:numId="26">
    <w:abstractNumId w:val="11"/>
  </w:num>
  <w:num w:numId="27">
    <w:abstractNumId w:val="6"/>
  </w:num>
  <w:num w:numId="28">
    <w:abstractNumId w:val="37"/>
  </w:num>
  <w:num w:numId="29">
    <w:abstractNumId w:val="24"/>
  </w:num>
  <w:num w:numId="30">
    <w:abstractNumId w:val="15"/>
  </w:num>
  <w:num w:numId="31">
    <w:abstractNumId w:val="39"/>
  </w:num>
  <w:num w:numId="32">
    <w:abstractNumId w:val="1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40"/>
  </w:num>
  <w:num w:numId="36">
    <w:abstractNumId w:val="38"/>
  </w:num>
  <w:num w:numId="37">
    <w:abstractNumId w:val="9"/>
  </w:num>
  <w:num w:numId="38">
    <w:abstractNumId w:val="0"/>
  </w:num>
  <w:num w:numId="39">
    <w:abstractNumId w:val="42"/>
  </w:num>
  <w:num w:numId="40">
    <w:abstractNumId w:val="29"/>
  </w:num>
  <w:num w:numId="41">
    <w:abstractNumId w:val="33"/>
  </w:num>
  <w:num w:numId="42">
    <w:abstractNumId w:val="7"/>
  </w:num>
  <w:num w:numId="43">
    <w:abstractNumId w:val="35"/>
  </w:num>
  <w:num w:numId="44">
    <w:abstractNumId w:val="43"/>
  </w:num>
  <w:num w:numId="45">
    <w:abstractNumId w:val="1"/>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8A"/>
    <w:rsid w:val="0000308A"/>
    <w:rsid w:val="0000384A"/>
    <w:rsid w:val="00004B17"/>
    <w:rsid w:val="00004CEF"/>
    <w:rsid w:val="00013A78"/>
    <w:rsid w:val="00017E33"/>
    <w:rsid w:val="00022166"/>
    <w:rsid w:val="000262D6"/>
    <w:rsid w:val="0002632F"/>
    <w:rsid w:val="00030E4E"/>
    <w:rsid w:val="00041212"/>
    <w:rsid w:val="00042816"/>
    <w:rsid w:val="00044892"/>
    <w:rsid w:val="00046A6B"/>
    <w:rsid w:val="00047CCA"/>
    <w:rsid w:val="00057C66"/>
    <w:rsid w:val="000601B9"/>
    <w:rsid w:val="00060D18"/>
    <w:rsid w:val="00063861"/>
    <w:rsid w:val="00073323"/>
    <w:rsid w:val="00090E58"/>
    <w:rsid w:val="000940BC"/>
    <w:rsid w:val="000A16E0"/>
    <w:rsid w:val="000B07D7"/>
    <w:rsid w:val="000B21A0"/>
    <w:rsid w:val="000B5C40"/>
    <w:rsid w:val="000B603C"/>
    <w:rsid w:val="000B6A90"/>
    <w:rsid w:val="000C01B6"/>
    <w:rsid w:val="000C63E8"/>
    <w:rsid w:val="000C6921"/>
    <w:rsid w:val="000C6A8B"/>
    <w:rsid w:val="000C706B"/>
    <w:rsid w:val="000D06D3"/>
    <w:rsid w:val="000D4265"/>
    <w:rsid w:val="000D7B47"/>
    <w:rsid w:val="000E03F8"/>
    <w:rsid w:val="000E12C9"/>
    <w:rsid w:val="000E3E07"/>
    <w:rsid w:val="000E41C7"/>
    <w:rsid w:val="000F08F9"/>
    <w:rsid w:val="000F16D1"/>
    <w:rsid w:val="000F28A8"/>
    <w:rsid w:val="000F2C0C"/>
    <w:rsid w:val="000F3BE8"/>
    <w:rsid w:val="000F52A6"/>
    <w:rsid w:val="000F5794"/>
    <w:rsid w:val="00100B4B"/>
    <w:rsid w:val="0010412D"/>
    <w:rsid w:val="001053AB"/>
    <w:rsid w:val="0010703D"/>
    <w:rsid w:val="001140DC"/>
    <w:rsid w:val="0012106E"/>
    <w:rsid w:val="001224BB"/>
    <w:rsid w:val="001242CC"/>
    <w:rsid w:val="001271AA"/>
    <w:rsid w:val="00127737"/>
    <w:rsid w:val="0013173D"/>
    <w:rsid w:val="00135A96"/>
    <w:rsid w:val="00136ECC"/>
    <w:rsid w:val="00137876"/>
    <w:rsid w:val="00144E53"/>
    <w:rsid w:val="00146CDB"/>
    <w:rsid w:val="0015090F"/>
    <w:rsid w:val="001523F2"/>
    <w:rsid w:val="00153DBC"/>
    <w:rsid w:val="00160AE3"/>
    <w:rsid w:val="00162498"/>
    <w:rsid w:val="00165268"/>
    <w:rsid w:val="00166DBF"/>
    <w:rsid w:val="00167217"/>
    <w:rsid w:val="00167615"/>
    <w:rsid w:val="001676F1"/>
    <w:rsid w:val="0017592B"/>
    <w:rsid w:val="00175E7B"/>
    <w:rsid w:val="00181BEA"/>
    <w:rsid w:val="0018225C"/>
    <w:rsid w:val="001824BB"/>
    <w:rsid w:val="001824BC"/>
    <w:rsid w:val="00185919"/>
    <w:rsid w:val="00185D99"/>
    <w:rsid w:val="00197482"/>
    <w:rsid w:val="001A118F"/>
    <w:rsid w:val="001A39B1"/>
    <w:rsid w:val="001A51AD"/>
    <w:rsid w:val="001A5633"/>
    <w:rsid w:val="001A7E65"/>
    <w:rsid w:val="001B09D6"/>
    <w:rsid w:val="001B12FA"/>
    <w:rsid w:val="001B5F7D"/>
    <w:rsid w:val="001B7A7B"/>
    <w:rsid w:val="001C2FDA"/>
    <w:rsid w:val="001D1199"/>
    <w:rsid w:val="001D267F"/>
    <w:rsid w:val="001D2A21"/>
    <w:rsid w:val="001D414B"/>
    <w:rsid w:val="001E059D"/>
    <w:rsid w:val="001E228C"/>
    <w:rsid w:val="001E3459"/>
    <w:rsid w:val="001E43F2"/>
    <w:rsid w:val="001E563D"/>
    <w:rsid w:val="001E742B"/>
    <w:rsid w:val="001F2255"/>
    <w:rsid w:val="001F28AD"/>
    <w:rsid w:val="001F59E2"/>
    <w:rsid w:val="001F6608"/>
    <w:rsid w:val="00204135"/>
    <w:rsid w:val="00205FD0"/>
    <w:rsid w:val="00206FBC"/>
    <w:rsid w:val="00210F85"/>
    <w:rsid w:val="00212094"/>
    <w:rsid w:val="002133ED"/>
    <w:rsid w:val="00216362"/>
    <w:rsid w:val="00217F70"/>
    <w:rsid w:val="00221C3C"/>
    <w:rsid w:val="00223387"/>
    <w:rsid w:val="00227461"/>
    <w:rsid w:val="0024082F"/>
    <w:rsid w:val="002434A7"/>
    <w:rsid w:val="00244A3B"/>
    <w:rsid w:val="00246218"/>
    <w:rsid w:val="002516E7"/>
    <w:rsid w:val="00256358"/>
    <w:rsid w:val="002600CA"/>
    <w:rsid w:val="00261259"/>
    <w:rsid w:val="00275730"/>
    <w:rsid w:val="00277452"/>
    <w:rsid w:val="00277C2B"/>
    <w:rsid w:val="00277DEC"/>
    <w:rsid w:val="0028582F"/>
    <w:rsid w:val="002932B7"/>
    <w:rsid w:val="00293D34"/>
    <w:rsid w:val="00294CF5"/>
    <w:rsid w:val="00295D58"/>
    <w:rsid w:val="002A05D6"/>
    <w:rsid w:val="002A21C3"/>
    <w:rsid w:val="002A41CA"/>
    <w:rsid w:val="002A4DAE"/>
    <w:rsid w:val="002C2A53"/>
    <w:rsid w:val="002C35EB"/>
    <w:rsid w:val="002C466F"/>
    <w:rsid w:val="002D029E"/>
    <w:rsid w:val="002D1BB4"/>
    <w:rsid w:val="002D2CC1"/>
    <w:rsid w:val="002D7F03"/>
    <w:rsid w:val="002D7FF7"/>
    <w:rsid w:val="002E6676"/>
    <w:rsid w:val="002F2629"/>
    <w:rsid w:val="002F75FB"/>
    <w:rsid w:val="00302618"/>
    <w:rsid w:val="00307823"/>
    <w:rsid w:val="0031047F"/>
    <w:rsid w:val="00315E92"/>
    <w:rsid w:val="0031699D"/>
    <w:rsid w:val="00324454"/>
    <w:rsid w:val="00325286"/>
    <w:rsid w:val="00337EC4"/>
    <w:rsid w:val="00340236"/>
    <w:rsid w:val="00343E6B"/>
    <w:rsid w:val="00351CBE"/>
    <w:rsid w:val="00351CCB"/>
    <w:rsid w:val="00362468"/>
    <w:rsid w:val="00362969"/>
    <w:rsid w:val="00365384"/>
    <w:rsid w:val="0036680B"/>
    <w:rsid w:val="003711F3"/>
    <w:rsid w:val="0037275B"/>
    <w:rsid w:val="0037681A"/>
    <w:rsid w:val="00380156"/>
    <w:rsid w:val="00380FEC"/>
    <w:rsid w:val="0038428B"/>
    <w:rsid w:val="003849B0"/>
    <w:rsid w:val="00394AF4"/>
    <w:rsid w:val="00395172"/>
    <w:rsid w:val="0039799B"/>
    <w:rsid w:val="003A0B28"/>
    <w:rsid w:val="003A0EED"/>
    <w:rsid w:val="003A5569"/>
    <w:rsid w:val="003A62C1"/>
    <w:rsid w:val="003A65B6"/>
    <w:rsid w:val="003A6A82"/>
    <w:rsid w:val="003B70AE"/>
    <w:rsid w:val="003C5A15"/>
    <w:rsid w:val="003D112A"/>
    <w:rsid w:val="003D11C2"/>
    <w:rsid w:val="003E4219"/>
    <w:rsid w:val="003E42B4"/>
    <w:rsid w:val="003E5D42"/>
    <w:rsid w:val="003E7340"/>
    <w:rsid w:val="003F1772"/>
    <w:rsid w:val="00402C0D"/>
    <w:rsid w:val="00405F7B"/>
    <w:rsid w:val="00406EF9"/>
    <w:rsid w:val="004142A3"/>
    <w:rsid w:val="0041577F"/>
    <w:rsid w:val="00420085"/>
    <w:rsid w:val="00420338"/>
    <w:rsid w:val="004241E6"/>
    <w:rsid w:val="00425B5C"/>
    <w:rsid w:val="00425E2A"/>
    <w:rsid w:val="004307D5"/>
    <w:rsid w:val="0043112A"/>
    <w:rsid w:val="00442AF8"/>
    <w:rsid w:val="0044362B"/>
    <w:rsid w:val="00444E25"/>
    <w:rsid w:val="00445103"/>
    <w:rsid w:val="004471FF"/>
    <w:rsid w:val="004512B2"/>
    <w:rsid w:val="00452377"/>
    <w:rsid w:val="00453410"/>
    <w:rsid w:val="00454184"/>
    <w:rsid w:val="00465192"/>
    <w:rsid w:val="0046567B"/>
    <w:rsid w:val="00470B38"/>
    <w:rsid w:val="004723EA"/>
    <w:rsid w:val="00474959"/>
    <w:rsid w:val="00484646"/>
    <w:rsid w:val="00486448"/>
    <w:rsid w:val="004868C8"/>
    <w:rsid w:val="00487552"/>
    <w:rsid w:val="00490CDD"/>
    <w:rsid w:val="00491FDF"/>
    <w:rsid w:val="0049570F"/>
    <w:rsid w:val="004969C5"/>
    <w:rsid w:val="00496B0F"/>
    <w:rsid w:val="004A27F4"/>
    <w:rsid w:val="004A6CB6"/>
    <w:rsid w:val="004B3257"/>
    <w:rsid w:val="004B6AF5"/>
    <w:rsid w:val="004B7257"/>
    <w:rsid w:val="004C0728"/>
    <w:rsid w:val="004D2C95"/>
    <w:rsid w:val="004D305D"/>
    <w:rsid w:val="004D49B1"/>
    <w:rsid w:val="004D5F51"/>
    <w:rsid w:val="004E0267"/>
    <w:rsid w:val="004E047A"/>
    <w:rsid w:val="004E1903"/>
    <w:rsid w:val="004E61C9"/>
    <w:rsid w:val="004E6913"/>
    <w:rsid w:val="004F1273"/>
    <w:rsid w:val="004F1F51"/>
    <w:rsid w:val="004F2F98"/>
    <w:rsid w:val="004F338F"/>
    <w:rsid w:val="004F6CB3"/>
    <w:rsid w:val="00500DE9"/>
    <w:rsid w:val="00506BED"/>
    <w:rsid w:val="00507D5F"/>
    <w:rsid w:val="005119DF"/>
    <w:rsid w:val="00515929"/>
    <w:rsid w:val="00522BC6"/>
    <w:rsid w:val="00523B5D"/>
    <w:rsid w:val="00527275"/>
    <w:rsid w:val="00530640"/>
    <w:rsid w:val="00530ADD"/>
    <w:rsid w:val="00530F81"/>
    <w:rsid w:val="00536212"/>
    <w:rsid w:val="00537466"/>
    <w:rsid w:val="00537AF9"/>
    <w:rsid w:val="00540AE1"/>
    <w:rsid w:val="00545F6A"/>
    <w:rsid w:val="005476A6"/>
    <w:rsid w:val="005517AE"/>
    <w:rsid w:val="0055231A"/>
    <w:rsid w:val="00556CCE"/>
    <w:rsid w:val="0055729D"/>
    <w:rsid w:val="0055744D"/>
    <w:rsid w:val="00561DF8"/>
    <w:rsid w:val="00562506"/>
    <w:rsid w:val="00577E46"/>
    <w:rsid w:val="005858BD"/>
    <w:rsid w:val="00592F6D"/>
    <w:rsid w:val="00594135"/>
    <w:rsid w:val="00594DBD"/>
    <w:rsid w:val="0059560F"/>
    <w:rsid w:val="005A1C34"/>
    <w:rsid w:val="005A44EE"/>
    <w:rsid w:val="005A7C75"/>
    <w:rsid w:val="005A7E24"/>
    <w:rsid w:val="005B09A2"/>
    <w:rsid w:val="005C4E4A"/>
    <w:rsid w:val="005D2077"/>
    <w:rsid w:val="005D3CE9"/>
    <w:rsid w:val="005D3D4C"/>
    <w:rsid w:val="005E2011"/>
    <w:rsid w:val="005E476D"/>
    <w:rsid w:val="005E47C3"/>
    <w:rsid w:val="005E5DFA"/>
    <w:rsid w:val="005E6600"/>
    <w:rsid w:val="005E734E"/>
    <w:rsid w:val="005F2259"/>
    <w:rsid w:val="005F2D15"/>
    <w:rsid w:val="005F4EE6"/>
    <w:rsid w:val="005F5656"/>
    <w:rsid w:val="00600984"/>
    <w:rsid w:val="00600EDE"/>
    <w:rsid w:val="00602C53"/>
    <w:rsid w:val="006070DF"/>
    <w:rsid w:val="00622D3B"/>
    <w:rsid w:val="0062430A"/>
    <w:rsid w:val="00624694"/>
    <w:rsid w:val="00636D2B"/>
    <w:rsid w:val="00640081"/>
    <w:rsid w:val="00641289"/>
    <w:rsid w:val="00643474"/>
    <w:rsid w:val="00644E3B"/>
    <w:rsid w:val="006502BB"/>
    <w:rsid w:val="00663EB5"/>
    <w:rsid w:val="00676F1E"/>
    <w:rsid w:val="0068090B"/>
    <w:rsid w:val="006833D8"/>
    <w:rsid w:val="006841CB"/>
    <w:rsid w:val="00685A7F"/>
    <w:rsid w:val="00687D59"/>
    <w:rsid w:val="00691EDB"/>
    <w:rsid w:val="006A07A3"/>
    <w:rsid w:val="006A32C9"/>
    <w:rsid w:val="006A4513"/>
    <w:rsid w:val="006A7DFE"/>
    <w:rsid w:val="006B425B"/>
    <w:rsid w:val="006C6282"/>
    <w:rsid w:val="006D1DAF"/>
    <w:rsid w:val="006D36CD"/>
    <w:rsid w:val="006D4638"/>
    <w:rsid w:val="006D5767"/>
    <w:rsid w:val="006D755B"/>
    <w:rsid w:val="006D7957"/>
    <w:rsid w:val="006E0909"/>
    <w:rsid w:val="006E5AE2"/>
    <w:rsid w:val="006E5F42"/>
    <w:rsid w:val="006F30DF"/>
    <w:rsid w:val="006F31D0"/>
    <w:rsid w:val="006F366E"/>
    <w:rsid w:val="0070227D"/>
    <w:rsid w:val="00704CB3"/>
    <w:rsid w:val="00706C8F"/>
    <w:rsid w:val="007079EA"/>
    <w:rsid w:val="00715CAB"/>
    <w:rsid w:val="00721170"/>
    <w:rsid w:val="00721770"/>
    <w:rsid w:val="007220A0"/>
    <w:rsid w:val="00723C2D"/>
    <w:rsid w:val="0072480B"/>
    <w:rsid w:val="007248D6"/>
    <w:rsid w:val="00726157"/>
    <w:rsid w:val="00726633"/>
    <w:rsid w:val="00732A0D"/>
    <w:rsid w:val="007331D2"/>
    <w:rsid w:val="00740161"/>
    <w:rsid w:val="00741FC4"/>
    <w:rsid w:val="00750671"/>
    <w:rsid w:val="0076153E"/>
    <w:rsid w:val="007707EB"/>
    <w:rsid w:val="007778F1"/>
    <w:rsid w:val="007817AA"/>
    <w:rsid w:val="007951F0"/>
    <w:rsid w:val="007A0E66"/>
    <w:rsid w:val="007A5275"/>
    <w:rsid w:val="007A79BE"/>
    <w:rsid w:val="007B3F38"/>
    <w:rsid w:val="007C1891"/>
    <w:rsid w:val="007C22F5"/>
    <w:rsid w:val="007D13AB"/>
    <w:rsid w:val="007D1874"/>
    <w:rsid w:val="007D59C4"/>
    <w:rsid w:val="007E0B7D"/>
    <w:rsid w:val="007F0252"/>
    <w:rsid w:val="007F128C"/>
    <w:rsid w:val="007F248D"/>
    <w:rsid w:val="007F479B"/>
    <w:rsid w:val="007F568C"/>
    <w:rsid w:val="007F62FC"/>
    <w:rsid w:val="007F6453"/>
    <w:rsid w:val="007F6C55"/>
    <w:rsid w:val="0080065C"/>
    <w:rsid w:val="008015A6"/>
    <w:rsid w:val="00801F8D"/>
    <w:rsid w:val="008049ED"/>
    <w:rsid w:val="008072AB"/>
    <w:rsid w:val="00811F54"/>
    <w:rsid w:val="00813930"/>
    <w:rsid w:val="00816630"/>
    <w:rsid w:val="00816D54"/>
    <w:rsid w:val="00830D1B"/>
    <w:rsid w:val="008440B8"/>
    <w:rsid w:val="00854465"/>
    <w:rsid w:val="008604D6"/>
    <w:rsid w:val="00861EB7"/>
    <w:rsid w:val="00863301"/>
    <w:rsid w:val="0086560F"/>
    <w:rsid w:val="00865B7B"/>
    <w:rsid w:val="00867FD2"/>
    <w:rsid w:val="008744A8"/>
    <w:rsid w:val="008752C6"/>
    <w:rsid w:val="00877FEA"/>
    <w:rsid w:val="008823B4"/>
    <w:rsid w:val="0088321E"/>
    <w:rsid w:val="00884C64"/>
    <w:rsid w:val="00894821"/>
    <w:rsid w:val="00895F4C"/>
    <w:rsid w:val="008A2994"/>
    <w:rsid w:val="008A5E2B"/>
    <w:rsid w:val="008B5D1E"/>
    <w:rsid w:val="008C7414"/>
    <w:rsid w:val="008C7E0C"/>
    <w:rsid w:val="008D04CE"/>
    <w:rsid w:val="008D09CD"/>
    <w:rsid w:val="008E5905"/>
    <w:rsid w:val="008E698E"/>
    <w:rsid w:val="008F06D0"/>
    <w:rsid w:val="008F3354"/>
    <w:rsid w:val="008F4B9F"/>
    <w:rsid w:val="008F60EE"/>
    <w:rsid w:val="008F7988"/>
    <w:rsid w:val="00901553"/>
    <w:rsid w:val="00903B6C"/>
    <w:rsid w:val="00903ED7"/>
    <w:rsid w:val="00904EDB"/>
    <w:rsid w:val="009072AF"/>
    <w:rsid w:val="009078CF"/>
    <w:rsid w:val="00914E47"/>
    <w:rsid w:val="00915AFA"/>
    <w:rsid w:val="00920A06"/>
    <w:rsid w:val="00922296"/>
    <w:rsid w:val="009267F9"/>
    <w:rsid w:val="00926A50"/>
    <w:rsid w:val="009301E3"/>
    <w:rsid w:val="00932782"/>
    <w:rsid w:val="0093311E"/>
    <w:rsid w:val="009442A7"/>
    <w:rsid w:val="00945127"/>
    <w:rsid w:val="009471AB"/>
    <w:rsid w:val="00954744"/>
    <w:rsid w:val="00957646"/>
    <w:rsid w:val="00957D14"/>
    <w:rsid w:val="00961037"/>
    <w:rsid w:val="00971E23"/>
    <w:rsid w:val="00971EDD"/>
    <w:rsid w:val="00973F3C"/>
    <w:rsid w:val="00975876"/>
    <w:rsid w:val="00976B9C"/>
    <w:rsid w:val="00976E86"/>
    <w:rsid w:val="009817DB"/>
    <w:rsid w:val="00986725"/>
    <w:rsid w:val="009874A7"/>
    <w:rsid w:val="009874D6"/>
    <w:rsid w:val="0099145D"/>
    <w:rsid w:val="00991D40"/>
    <w:rsid w:val="009A0587"/>
    <w:rsid w:val="009A453C"/>
    <w:rsid w:val="009B7F95"/>
    <w:rsid w:val="009C3054"/>
    <w:rsid w:val="009C5D60"/>
    <w:rsid w:val="009C6FB8"/>
    <w:rsid w:val="009D034B"/>
    <w:rsid w:val="009D2CAA"/>
    <w:rsid w:val="009D58CB"/>
    <w:rsid w:val="009E1306"/>
    <w:rsid w:val="009E1B34"/>
    <w:rsid w:val="009E50DE"/>
    <w:rsid w:val="009E6D50"/>
    <w:rsid w:val="009F0AFD"/>
    <w:rsid w:val="009F0DE7"/>
    <w:rsid w:val="009F1BC3"/>
    <w:rsid w:val="009F5F3C"/>
    <w:rsid w:val="009F6DA3"/>
    <w:rsid w:val="00A0238D"/>
    <w:rsid w:val="00A035F5"/>
    <w:rsid w:val="00A06731"/>
    <w:rsid w:val="00A07415"/>
    <w:rsid w:val="00A13CC5"/>
    <w:rsid w:val="00A15829"/>
    <w:rsid w:val="00A16A5B"/>
    <w:rsid w:val="00A17960"/>
    <w:rsid w:val="00A208FD"/>
    <w:rsid w:val="00A27E5A"/>
    <w:rsid w:val="00A30919"/>
    <w:rsid w:val="00A44F67"/>
    <w:rsid w:val="00A47238"/>
    <w:rsid w:val="00A502CE"/>
    <w:rsid w:val="00A53282"/>
    <w:rsid w:val="00A5391A"/>
    <w:rsid w:val="00A549AD"/>
    <w:rsid w:val="00A56399"/>
    <w:rsid w:val="00A565D6"/>
    <w:rsid w:val="00A61E58"/>
    <w:rsid w:val="00A65320"/>
    <w:rsid w:val="00A80D87"/>
    <w:rsid w:val="00A8244B"/>
    <w:rsid w:val="00A82BF6"/>
    <w:rsid w:val="00A8385B"/>
    <w:rsid w:val="00A904DB"/>
    <w:rsid w:val="00A90B65"/>
    <w:rsid w:val="00A92AD1"/>
    <w:rsid w:val="00A94FD3"/>
    <w:rsid w:val="00AA53E1"/>
    <w:rsid w:val="00AA70F3"/>
    <w:rsid w:val="00AA7C61"/>
    <w:rsid w:val="00AB059B"/>
    <w:rsid w:val="00AB2A24"/>
    <w:rsid w:val="00AB3651"/>
    <w:rsid w:val="00AB712F"/>
    <w:rsid w:val="00AB7968"/>
    <w:rsid w:val="00AC5225"/>
    <w:rsid w:val="00AC5932"/>
    <w:rsid w:val="00AC6C7C"/>
    <w:rsid w:val="00AD019C"/>
    <w:rsid w:val="00AD07A1"/>
    <w:rsid w:val="00AD0E0E"/>
    <w:rsid w:val="00AD1777"/>
    <w:rsid w:val="00AD4CF8"/>
    <w:rsid w:val="00AD5551"/>
    <w:rsid w:val="00AD745A"/>
    <w:rsid w:val="00AE5078"/>
    <w:rsid w:val="00AE7D98"/>
    <w:rsid w:val="00AF2C1B"/>
    <w:rsid w:val="00AF3AD6"/>
    <w:rsid w:val="00AF45E6"/>
    <w:rsid w:val="00AF62AF"/>
    <w:rsid w:val="00AF67AC"/>
    <w:rsid w:val="00B03878"/>
    <w:rsid w:val="00B07AF9"/>
    <w:rsid w:val="00B10360"/>
    <w:rsid w:val="00B14015"/>
    <w:rsid w:val="00B156DC"/>
    <w:rsid w:val="00B16AC2"/>
    <w:rsid w:val="00B17737"/>
    <w:rsid w:val="00B22980"/>
    <w:rsid w:val="00B235FE"/>
    <w:rsid w:val="00B33ECB"/>
    <w:rsid w:val="00B44811"/>
    <w:rsid w:val="00B45FCA"/>
    <w:rsid w:val="00B5732B"/>
    <w:rsid w:val="00B6437A"/>
    <w:rsid w:val="00B646D3"/>
    <w:rsid w:val="00B67456"/>
    <w:rsid w:val="00B7138D"/>
    <w:rsid w:val="00B73F9D"/>
    <w:rsid w:val="00B751D9"/>
    <w:rsid w:val="00B76299"/>
    <w:rsid w:val="00B767AA"/>
    <w:rsid w:val="00B81A04"/>
    <w:rsid w:val="00B832E9"/>
    <w:rsid w:val="00B84D0C"/>
    <w:rsid w:val="00B86329"/>
    <w:rsid w:val="00B871DC"/>
    <w:rsid w:val="00B90207"/>
    <w:rsid w:val="00B90E1E"/>
    <w:rsid w:val="00B92B1C"/>
    <w:rsid w:val="00B95F00"/>
    <w:rsid w:val="00BA5606"/>
    <w:rsid w:val="00BA5A80"/>
    <w:rsid w:val="00BB5B88"/>
    <w:rsid w:val="00BB72FF"/>
    <w:rsid w:val="00BC52BB"/>
    <w:rsid w:val="00BC543E"/>
    <w:rsid w:val="00BC5961"/>
    <w:rsid w:val="00BC6C4D"/>
    <w:rsid w:val="00BC7086"/>
    <w:rsid w:val="00BD2D29"/>
    <w:rsid w:val="00BD5024"/>
    <w:rsid w:val="00BD5403"/>
    <w:rsid w:val="00BD5B5C"/>
    <w:rsid w:val="00BE7632"/>
    <w:rsid w:val="00BF10D6"/>
    <w:rsid w:val="00BF2904"/>
    <w:rsid w:val="00BF3384"/>
    <w:rsid w:val="00C0777A"/>
    <w:rsid w:val="00C11AA1"/>
    <w:rsid w:val="00C1245E"/>
    <w:rsid w:val="00C15F33"/>
    <w:rsid w:val="00C2604F"/>
    <w:rsid w:val="00C30BD5"/>
    <w:rsid w:val="00C31D1D"/>
    <w:rsid w:val="00C343D2"/>
    <w:rsid w:val="00C358AB"/>
    <w:rsid w:val="00C42D4C"/>
    <w:rsid w:val="00C53EDB"/>
    <w:rsid w:val="00C54DF4"/>
    <w:rsid w:val="00C54FEF"/>
    <w:rsid w:val="00C56BB5"/>
    <w:rsid w:val="00C57E36"/>
    <w:rsid w:val="00C6042A"/>
    <w:rsid w:val="00C61364"/>
    <w:rsid w:val="00C61D98"/>
    <w:rsid w:val="00C63A6B"/>
    <w:rsid w:val="00C66F99"/>
    <w:rsid w:val="00C734F4"/>
    <w:rsid w:val="00C771F7"/>
    <w:rsid w:val="00C80179"/>
    <w:rsid w:val="00C81C10"/>
    <w:rsid w:val="00C825E2"/>
    <w:rsid w:val="00C82977"/>
    <w:rsid w:val="00C83E33"/>
    <w:rsid w:val="00C86024"/>
    <w:rsid w:val="00C86556"/>
    <w:rsid w:val="00C87D1C"/>
    <w:rsid w:val="00C91293"/>
    <w:rsid w:val="00C9230E"/>
    <w:rsid w:val="00C96268"/>
    <w:rsid w:val="00CA02DD"/>
    <w:rsid w:val="00CA17D9"/>
    <w:rsid w:val="00CA3299"/>
    <w:rsid w:val="00CA69A0"/>
    <w:rsid w:val="00CA7AC3"/>
    <w:rsid w:val="00CB700D"/>
    <w:rsid w:val="00CC376C"/>
    <w:rsid w:val="00CC7478"/>
    <w:rsid w:val="00CD575F"/>
    <w:rsid w:val="00CD675A"/>
    <w:rsid w:val="00CE0241"/>
    <w:rsid w:val="00CE4F67"/>
    <w:rsid w:val="00CE52E2"/>
    <w:rsid w:val="00CE5310"/>
    <w:rsid w:val="00CE6715"/>
    <w:rsid w:val="00CE75DA"/>
    <w:rsid w:val="00CF0B8A"/>
    <w:rsid w:val="00CF39F5"/>
    <w:rsid w:val="00CF6448"/>
    <w:rsid w:val="00CF73DF"/>
    <w:rsid w:val="00D016A4"/>
    <w:rsid w:val="00D01ECE"/>
    <w:rsid w:val="00D02517"/>
    <w:rsid w:val="00D02DD3"/>
    <w:rsid w:val="00D02F16"/>
    <w:rsid w:val="00D04AE8"/>
    <w:rsid w:val="00D068DA"/>
    <w:rsid w:val="00D10CF3"/>
    <w:rsid w:val="00D1125A"/>
    <w:rsid w:val="00D123EF"/>
    <w:rsid w:val="00D15FF6"/>
    <w:rsid w:val="00D22BA6"/>
    <w:rsid w:val="00D32AE9"/>
    <w:rsid w:val="00D34CF3"/>
    <w:rsid w:val="00D36978"/>
    <w:rsid w:val="00D52E04"/>
    <w:rsid w:val="00D7144E"/>
    <w:rsid w:val="00D7221A"/>
    <w:rsid w:val="00D73A91"/>
    <w:rsid w:val="00D74EB9"/>
    <w:rsid w:val="00D75CBD"/>
    <w:rsid w:val="00D75DD4"/>
    <w:rsid w:val="00D75E75"/>
    <w:rsid w:val="00D77104"/>
    <w:rsid w:val="00D80571"/>
    <w:rsid w:val="00D837A4"/>
    <w:rsid w:val="00D90B67"/>
    <w:rsid w:val="00D9208B"/>
    <w:rsid w:val="00D94DAB"/>
    <w:rsid w:val="00D95F20"/>
    <w:rsid w:val="00DA19B2"/>
    <w:rsid w:val="00DA1A95"/>
    <w:rsid w:val="00DA3444"/>
    <w:rsid w:val="00DA4340"/>
    <w:rsid w:val="00DA4F3E"/>
    <w:rsid w:val="00DB78F7"/>
    <w:rsid w:val="00DC5AEC"/>
    <w:rsid w:val="00DC60FD"/>
    <w:rsid w:val="00DD03B7"/>
    <w:rsid w:val="00DD0CBB"/>
    <w:rsid w:val="00DD11EA"/>
    <w:rsid w:val="00DD490D"/>
    <w:rsid w:val="00DE0392"/>
    <w:rsid w:val="00DE3EDD"/>
    <w:rsid w:val="00DE4890"/>
    <w:rsid w:val="00DF0024"/>
    <w:rsid w:val="00DF2C32"/>
    <w:rsid w:val="00DF434A"/>
    <w:rsid w:val="00DF5416"/>
    <w:rsid w:val="00DF54D2"/>
    <w:rsid w:val="00DF59B3"/>
    <w:rsid w:val="00E01168"/>
    <w:rsid w:val="00E02FB7"/>
    <w:rsid w:val="00E034CA"/>
    <w:rsid w:val="00E05382"/>
    <w:rsid w:val="00E07FB1"/>
    <w:rsid w:val="00E170B9"/>
    <w:rsid w:val="00E17C86"/>
    <w:rsid w:val="00E2083C"/>
    <w:rsid w:val="00E210E3"/>
    <w:rsid w:val="00E23BF7"/>
    <w:rsid w:val="00E35962"/>
    <w:rsid w:val="00E37756"/>
    <w:rsid w:val="00E37A58"/>
    <w:rsid w:val="00E41120"/>
    <w:rsid w:val="00E4453C"/>
    <w:rsid w:val="00E517CA"/>
    <w:rsid w:val="00E53978"/>
    <w:rsid w:val="00E556E0"/>
    <w:rsid w:val="00E55927"/>
    <w:rsid w:val="00E55C3D"/>
    <w:rsid w:val="00E57C2B"/>
    <w:rsid w:val="00E60E2D"/>
    <w:rsid w:val="00E61DAB"/>
    <w:rsid w:val="00E62E57"/>
    <w:rsid w:val="00E6559C"/>
    <w:rsid w:val="00E7057A"/>
    <w:rsid w:val="00E71EEB"/>
    <w:rsid w:val="00E745AA"/>
    <w:rsid w:val="00E74E03"/>
    <w:rsid w:val="00E7592A"/>
    <w:rsid w:val="00E75EAD"/>
    <w:rsid w:val="00E77937"/>
    <w:rsid w:val="00E77B39"/>
    <w:rsid w:val="00E837EF"/>
    <w:rsid w:val="00E846F8"/>
    <w:rsid w:val="00E87D1E"/>
    <w:rsid w:val="00E90782"/>
    <w:rsid w:val="00E9118A"/>
    <w:rsid w:val="00E9375A"/>
    <w:rsid w:val="00E93A11"/>
    <w:rsid w:val="00E9554F"/>
    <w:rsid w:val="00E96BF2"/>
    <w:rsid w:val="00EA215E"/>
    <w:rsid w:val="00EA3CF5"/>
    <w:rsid w:val="00EA60A8"/>
    <w:rsid w:val="00EA720B"/>
    <w:rsid w:val="00EB19F7"/>
    <w:rsid w:val="00EB1F81"/>
    <w:rsid w:val="00EB4406"/>
    <w:rsid w:val="00EB4D2B"/>
    <w:rsid w:val="00EB5D64"/>
    <w:rsid w:val="00EB5DF5"/>
    <w:rsid w:val="00EC159E"/>
    <w:rsid w:val="00EC63A5"/>
    <w:rsid w:val="00EC7952"/>
    <w:rsid w:val="00ED5753"/>
    <w:rsid w:val="00ED74B0"/>
    <w:rsid w:val="00ED7EA8"/>
    <w:rsid w:val="00EE2D9C"/>
    <w:rsid w:val="00EE4E96"/>
    <w:rsid w:val="00EF153D"/>
    <w:rsid w:val="00EF1BFC"/>
    <w:rsid w:val="00EF319E"/>
    <w:rsid w:val="00EF78ED"/>
    <w:rsid w:val="00F00E18"/>
    <w:rsid w:val="00F01AEB"/>
    <w:rsid w:val="00F036CA"/>
    <w:rsid w:val="00F03B49"/>
    <w:rsid w:val="00F05BB5"/>
    <w:rsid w:val="00F063B7"/>
    <w:rsid w:val="00F13D02"/>
    <w:rsid w:val="00F14BE7"/>
    <w:rsid w:val="00F16A14"/>
    <w:rsid w:val="00F17F6E"/>
    <w:rsid w:val="00F204CA"/>
    <w:rsid w:val="00F23432"/>
    <w:rsid w:val="00F2569D"/>
    <w:rsid w:val="00F27EA4"/>
    <w:rsid w:val="00F32EDF"/>
    <w:rsid w:val="00F33B71"/>
    <w:rsid w:val="00F3674C"/>
    <w:rsid w:val="00F36DBF"/>
    <w:rsid w:val="00F40692"/>
    <w:rsid w:val="00F423AA"/>
    <w:rsid w:val="00F42B2E"/>
    <w:rsid w:val="00F43DC8"/>
    <w:rsid w:val="00F448AC"/>
    <w:rsid w:val="00F55DEB"/>
    <w:rsid w:val="00F57EBA"/>
    <w:rsid w:val="00F65266"/>
    <w:rsid w:val="00F7373F"/>
    <w:rsid w:val="00F7546A"/>
    <w:rsid w:val="00F758D2"/>
    <w:rsid w:val="00F75E83"/>
    <w:rsid w:val="00F806B2"/>
    <w:rsid w:val="00F81FC8"/>
    <w:rsid w:val="00F874F8"/>
    <w:rsid w:val="00F918E9"/>
    <w:rsid w:val="00F920A2"/>
    <w:rsid w:val="00F92E91"/>
    <w:rsid w:val="00F96D83"/>
    <w:rsid w:val="00F979E9"/>
    <w:rsid w:val="00FA2374"/>
    <w:rsid w:val="00FA3809"/>
    <w:rsid w:val="00FA4D91"/>
    <w:rsid w:val="00FB099B"/>
    <w:rsid w:val="00FB0F2A"/>
    <w:rsid w:val="00FB2A52"/>
    <w:rsid w:val="00FB449B"/>
    <w:rsid w:val="00FD2F73"/>
    <w:rsid w:val="00FD44B6"/>
    <w:rsid w:val="00FF36EA"/>
    <w:rsid w:val="00FF3C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29058C"/>
  <w15:chartTrackingRefBased/>
  <w15:docId w15:val="{6A7DCB2D-4D8C-4CC3-AFB1-E0625572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12094"/>
    <w:pPr>
      <w:keepNext/>
      <w:keepLines/>
      <w:spacing w:before="480" w:line="276" w:lineRule="auto"/>
      <w:outlineLvl w:val="0"/>
    </w:pPr>
    <w:rPr>
      <w:rFonts w:ascii="Calibri Light" w:hAnsi="Calibri Light"/>
      <w:b/>
      <w:bCs/>
      <w:color w:val="2E74B5"/>
      <w:sz w:val="28"/>
      <w:szCs w:val="28"/>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rsid w:val="004E1903"/>
    <w:rPr>
      <w:rFonts w:ascii="Tahoma" w:hAnsi="Tahoma"/>
      <w:sz w:val="16"/>
      <w:szCs w:val="16"/>
      <w:lang w:val="x-none" w:eastAsia="x-none"/>
    </w:rPr>
  </w:style>
  <w:style w:type="character" w:customStyle="1" w:styleId="TextbublinyChar">
    <w:name w:val="Text bubliny Char"/>
    <w:link w:val="Textbubliny"/>
    <w:rsid w:val="004E1903"/>
    <w:rPr>
      <w:rFonts w:ascii="Tahoma" w:hAnsi="Tahoma" w:cs="Tahoma"/>
      <w:sz w:val="16"/>
      <w:szCs w:val="16"/>
    </w:rPr>
  </w:style>
  <w:style w:type="paragraph" w:styleId="Zpat">
    <w:name w:val="footer"/>
    <w:basedOn w:val="Normln"/>
    <w:link w:val="ZpatChar"/>
    <w:uiPriority w:val="99"/>
    <w:unhideWhenUsed/>
    <w:rsid w:val="00EC7952"/>
    <w:pPr>
      <w:tabs>
        <w:tab w:val="center" w:pos="4536"/>
        <w:tab w:val="right" w:pos="9072"/>
      </w:tabs>
      <w:spacing w:after="200" w:line="276" w:lineRule="auto"/>
    </w:pPr>
    <w:rPr>
      <w:rFonts w:ascii="Calibri" w:eastAsia="Calibri" w:hAnsi="Calibri"/>
      <w:sz w:val="22"/>
      <w:szCs w:val="22"/>
      <w:lang w:val="x-none" w:eastAsia="en-US"/>
    </w:rPr>
  </w:style>
  <w:style w:type="character" w:customStyle="1" w:styleId="ZpatChar">
    <w:name w:val="Zápatí Char"/>
    <w:link w:val="Zpat"/>
    <w:uiPriority w:val="99"/>
    <w:rsid w:val="00EC7952"/>
    <w:rPr>
      <w:rFonts w:ascii="Calibri" w:eastAsia="Calibri" w:hAnsi="Calibri"/>
      <w:sz w:val="22"/>
      <w:szCs w:val="22"/>
      <w:lang w:eastAsia="en-US"/>
    </w:rPr>
  </w:style>
  <w:style w:type="paragraph" w:styleId="Odstavecseseznamem">
    <w:name w:val="List Paragraph"/>
    <w:basedOn w:val="Normln"/>
    <w:uiPriority w:val="34"/>
    <w:qFormat/>
    <w:rsid w:val="00185D99"/>
    <w:pPr>
      <w:spacing w:after="200" w:line="276" w:lineRule="auto"/>
      <w:ind w:left="720"/>
      <w:contextualSpacing/>
    </w:pPr>
    <w:rPr>
      <w:rFonts w:ascii="Calibri" w:eastAsia="Calibri" w:hAnsi="Calibri"/>
      <w:sz w:val="22"/>
      <w:szCs w:val="22"/>
      <w:lang w:eastAsia="en-US"/>
    </w:rPr>
  </w:style>
  <w:style w:type="paragraph" w:styleId="Zhlav">
    <w:name w:val="header"/>
    <w:basedOn w:val="Normln"/>
    <w:link w:val="ZhlavChar"/>
    <w:rsid w:val="00185D99"/>
    <w:pPr>
      <w:tabs>
        <w:tab w:val="center" w:pos="4536"/>
        <w:tab w:val="right" w:pos="9072"/>
      </w:tabs>
    </w:pPr>
    <w:rPr>
      <w:lang w:val="x-none" w:eastAsia="x-none"/>
    </w:rPr>
  </w:style>
  <w:style w:type="character" w:customStyle="1" w:styleId="ZhlavChar">
    <w:name w:val="Záhlaví Char"/>
    <w:link w:val="Zhlav"/>
    <w:rsid w:val="00185D99"/>
    <w:rPr>
      <w:sz w:val="24"/>
      <w:szCs w:val="24"/>
    </w:rPr>
  </w:style>
  <w:style w:type="table" w:styleId="Mkatabulky">
    <w:name w:val="Table Grid"/>
    <w:basedOn w:val="Normlntabulka"/>
    <w:uiPriority w:val="39"/>
    <w:rsid w:val="0072177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06731"/>
    <w:rPr>
      <w:color w:val="0000FF"/>
      <w:u w:val="single"/>
    </w:rPr>
  </w:style>
  <w:style w:type="paragraph" w:customStyle="1" w:styleId="Textbody">
    <w:name w:val="Text body"/>
    <w:basedOn w:val="Normln"/>
    <w:rsid w:val="007D59C4"/>
    <w:pPr>
      <w:tabs>
        <w:tab w:val="left" w:pos="709"/>
      </w:tabs>
      <w:suppressAutoHyphens/>
      <w:autoSpaceDN w:val="0"/>
      <w:spacing w:line="100" w:lineRule="atLeast"/>
    </w:pPr>
    <w:rPr>
      <w:b/>
      <w:color w:val="00000A"/>
      <w:kern w:val="3"/>
      <w:szCs w:val="20"/>
    </w:rPr>
  </w:style>
  <w:style w:type="character" w:styleId="Odkaznakoment">
    <w:name w:val="annotation reference"/>
    <w:uiPriority w:val="99"/>
    <w:rsid w:val="00E37756"/>
    <w:rPr>
      <w:sz w:val="16"/>
      <w:szCs w:val="16"/>
    </w:rPr>
  </w:style>
  <w:style w:type="paragraph" w:styleId="Textkomente">
    <w:name w:val="annotation text"/>
    <w:basedOn w:val="Normln"/>
    <w:link w:val="TextkomenteChar"/>
    <w:uiPriority w:val="99"/>
    <w:rsid w:val="00E37756"/>
    <w:rPr>
      <w:sz w:val="20"/>
      <w:szCs w:val="20"/>
    </w:rPr>
  </w:style>
  <w:style w:type="character" w:customStyle="1" w:styleId="TextkomenteChar">
    <w:name w:val="Text komentáře Char"/>
    <w:basedOn w:val="Standardnpsmoodstavce"/>
    <w:link w:val="Textkomente"/>
    <w:uiPriority w:val="99"/>
    <w:rsid w:val="00E37756"/>
  </w:style>
  <w:style w:type="paragraph" w:styleId="Pedmtkomente">
    <w:name w:val="annotation subject"/>
    <w:basedOn w:val="Textkomente"/>
    <w:next w:val="Textkomente"/>
    <w:link w:val="PedmtkomenteChar"/>
    <w:rsid w:val="00E37756"/>
    <w:rPr>
      <w:b/>
      <w:bCs/>
      <w:lang w:val="x-none" w:eastAsia="x-none"/>
    </w:rPr>
  </w:style>
  <w:style w:type="character" w:customStyle="1" w:styleId="PedmtkomenteChar">
    <w:name w:val="Předmět komentáře Char"/>
    <w:link w:val="Pedmtkomente"/>
    <w:rsid w:val="00E37756"/>
    <w:rPr>
      <w:b/>
      <w:bCs/>
    </w:rPr>
  </w:style>
  <w:style w:type="character" w:customStyle="1" w:styleId="Nadpis1Char">
    <w:name w:val="Nadpis 1 Char"/>
    <w:link w:val="Nadpis1"/>
    <w:uiPriority w:val="9"/>
    <w:rsid w:val="00212094"/>
    <w:rPr>
      <w:rFonts w:ascii="Calibri Light" w:hAnsi="Calibri Light"/>
      <w:b/>
      <w:bCs/>
      <w:color w:val="2E74B5"/>
      <w:sz w:val="28"/>
      <w:szCs w:val="28"/>
      <w:lang w:eastAsia="en-US"/>
    </w:rPr>
  </w:style>
  <w:style w:type="character" w:customStyle="1" w:styleId="h1a5">
    <w:name w:val="h1a5"/>
    <w:rsid w:val="00004B17"/>
    <w:rPr>
      <w:rFonts w:ascii="Arial" w:hAnsi="Arial" w:cs="Arial" w:hint="default"/>
      <w:i/>
      <w:iCs/>
      <w:vanish w:val="0"/>
      <w:webHidden w:val="0"/>
      <w:sz w:val="26"/>
      <w:szCs w:val="26"/>
      <w:specVanish w:val="0"/>
    </w:rPr>
  </w:style>
  <w:style w:type="paragraph" w:styleId="Bezmezer">
    <w:name w:val="No Spacing"/>
    <w:link w:val="BezmezerChar"/>
    <w:uiPriority w:val="1"/>
    <w:qFormat/>
    <w:rsid w:val="004F338F"/>
    <w:rPr>
      <w:sz w:val="24"/>
      <w:szCs w:val="24"/>
    </w:rPr>
  </w:style>
  <w:style w:type="character" w:customStyle="1" w:styleId="BezmezerChar">
    <w:name w:val="Bez mezer Char"/>
    <w:link w:val="Bezmezer"/>
    <w:uiPriority w:val="1"/>
    <w:locked/>
    <w:rsid w:val="004F338F"/>
    <w:rPr>
      <w:sz w:val="24"/>
      <w:szCs w:val="24"/>
      <w:lang w:bidi="ar-SA"/>
    </w:rPr>
  </w:style>
  <w:style w:type="paragraph" w:styleId="Normlnweb">
    <w:name w:val="Normal (Web)"/>
    <w:basedOn w:val="Normln"/>
    <w:uiPriority w:val="99"/>
    <w:unhideWhenUsed/>
    <w:rsid w:val="00BD5B5C"/>
    <w:pPr>
      <w:spacing w:before="192" w:after="192" w:line="360" w:lineRule="atLeast"/>
    </w:pPr>
  </w:style>
  <w:style w:type="character" w:styleId="Sledovanodkaz">
    <w:name w:val="FollowedHyperlink"/>
    <w:rsid w:val="00AA53E1"/>
    <w:rPr>
      <w:color w:val="954F72"/>
      <w:u w:val="single"/>
    </w:rPr>
  </w:style>
  <w:style w:type="character" w:styleId="Zdraznn">
    <w:name w:val="Emphasis"/>
    <w:uiPriority w:val="20"/>
    <w:qFormat/>
    <w:rsid w:val="00B16AC2"/>
    <w:rPr>
      <w:i/>
      <w:iCs/>
    </w:rPr>
  </w:style>
  <w:style w:type="paragraph" w:styleId="Nzev">
    <w:name w:val="Title"/>
    <w:basedOn w:val="Normln"/>
    <w:link w:val="NzevChar"/>
    <w:qFormat/>
    <w:rsid w:val="0093311E"/>
    <w:pPr>
      <w:jc w:val="center"/>
    </w:pPr>
    <w:rPr>
      <w:sz w:val="28"/>
      <w:szCs w:val="20"/>
      <w:lang w:val="x-none" w:eastAsia="x-none"/>
    </w:rPr>
  </w:style>
  <w:style w:type="character" w:customStyle="1" w:styleId="NzevChar">
    <w:name w:val="Název Char"/>
    <w:link w:val="Nzev"/>
    <w:rsid w:val="0093311E"/>
    <w:rPr>
      <w:sz w:val="28"/>
    </w:rPr>
  </w:style>
  <w:style w:type="character" w:styleId="Siln">
    <w:name w:val="Strong"/>
    <w:qFormat/>
    <w:rsid w:val="00E90782"/>
    <w:rPr>
      <w:b/>
      <w:bCs/>
    </w:rPr>
  </w:style>
  <w:style w:type="paragraph" w:customStyle="1" w:styleId="Default">
    <w:name w:val="Default"/>
    <w:rsid w:val="002C35E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5624">
      <w:bodyDiv w:val="1"/>
      <w:marLeft w:val="0"/>
      <w:marRight w:val="0"/>
      <w:marTop w:val="0"/>
      <w:marBottom w:val="0"/>
      <w:divBdr>
        <w:top w:val="none" w:sz="0" w:space="0" w:color="auto"/>
        <w:left w:val="none" w:sz="0" w:space="0" w:color="auto"/>
        <w:bottom w:val="none" w:sz="0" w:space="0" w:color="auto"/>
        <w:right w:val="none" w:sz="0" w:space="0" w:color="auto"/>
      </w:divBdr>
    </w:div>
    <w:div w:id="272901007">
      <w:bodyDiv w:val="1"/>
      <w:marLeft w:val="0"/>
      <w:marRight w:val="0"/>
      <w:marTop w:val="0"/>
      <w:marBottom w:val="0"/>
      <w:divBdr>
        <w:top w:val="none" w:sz="0" w:space="0" w:color="auto"/>
        <w:left w:val="none" w:sz="0" w:space="0" w:color="auto"/>
        <w:bottom w:val="none" w:sz="0" w:space="0" w:color="auto"/>
        <w:right w:val="none" w:sz="0" w:space="0" w:color="auto"/>
      </w:divBdr>
    </w:div>
    <w:div w:id="297536706">
      <w:bodyDiv w:val="1"/>
      <w:marLeft w:val="0"/>
      <w:marRight w:val="0"/>
      <w:marTop w:val="0"/>
      <w:marBottom w:val="0"/>
      <w:divBdr>
        <w:top w:val="none" w:sz="0" w:space="0" w:color="auto"/>
        <w:left w:val="none" w:sz="0" w:space="0" w:color="auto"/>
        <w:bottom w:val="none" w:sz="0" w:space="0" w:color="auto"/>
        <w:right w:val="none" w:sz="0" w:space="0" w:color="auto"/>
      </w:divBdr>
    </w:div>
    <w:div w:id="381170589">
      <w:bodyDiv w:val="1"/>
      <w:marLeft w:val="0"/>
      <w:marRight w:val="0"/>
      <w:marTop w:val="0"/>
      <w:marBottom w:val="0"/>
      <w:divBdr>
        <w:top w:val="none" w:sz="0" w:space="0" w:color="auto"/>
        <w:left w:val="none" w:sz="0" w:space="0" w:color="auto"/>
        <w:bottom w:val="none" w:sz="0" w:space="0" w:color="auto"/>
        <w:right w:val="none" w:sz="0" w:space="0" w:color="auto"/>
      </w:divBdr>
    </w:div>
    <w:div w:id="655231813">
      <w:bodyDiv w:val="1"/>
      <w:marLeft w:val="0"/>
      <w:marRight w:val="0"/>
      <w:marTop w:val="0"/>
      <w:marBottom w:val="0"/>
      <w:divBdr>
        <w:top w:val="none" w:sz="0" w:space="0" w:color="auto"/>
        <w:left w:val="none" w:sz="0" w:space="0" w:color="auto"/>
        <w:bottom w:val="none" w:sz="0" w:space="0" w:color="auto"/>
        <w:right w:val="none" w:sz="0" w:space="0" w:color="auto"/>
      </w:divBdr>
    </w:div>
    <w:div w:id="666253117">
      <w:bodyDiv w:val="1"/>
      <w:marLeft w:val="0"/>
      <w:marRight w:val="0"/>
      <w:marTop w:val="0"/>
      <w:marBottom w:val="0"/>
      <w:divBdr>
        <w:top w:val="none" w:sz="0" w:space="0" w:color="auto"/>
        <w:left w:val="none" w:sz="0" w:space="0" w:color="auto"/>
        <w:bottom w:val="none" w:sz="0" w:space="0" w:color="auto"/>
        <w:right w:val="none" w:sz="0" w:space="0" w:color="auto"/>
      </w:divBdr>
    </w:div>
    <w:div w:id="689986819">
      <w:bodyDiv w:val="1"/>
      <w:marLeft w:val="0"/>
      <w:marRight w:val="0"/>
      <w:marTop w:val="0"/>
      <w:marBottom w:val="0"/>
      <w:divBdr>
        <w:top w:val="none" w:sz="0" w:space="0" w:color="auto"/>
        <w:left w:val="none" w:sz="0" w:space="0" w:color="auto"/>
        <w:bottom w:val="none" w:sz="0" w:space="0" w:color="auto"/>
        <w:right w:val="none" w:sz="0" w:space="0" w:color="auto"/>
      </w:divBdr>
    </w:div>
    <w:div w:id="758258621">
      <w:bodyDiv w:val="1"/>
      <w:marLeft w:val="0"/>
      <w:marRight w:val="0"/>
      <w:marTop w:val="0"/>
      <w:marBottom w:val="0"/>
      <w:divBdr>
        <w:top w:val="none" w:sz="0" w:space="0" w:color="auto"/>
        <w:left w:val="none" w:sz="0" w:space="0" w:color="auto"/>
        <w:bottom w:val="none" w:sz="0" w:space="0" w:color="auto"/>
        <w:right w:val="none" w:sz="0" w:space="0" w:color="auto"/>
      </w:divBdr>
    </w:div>
    <w:div w:id="804275404">
      <w:bodyDiv w:val="1"/>
      <w:marLeft w:val="0"/>
      <w:marRight w:val="0"/>
      <w:marTop w:val="0"/>
      <w:marBottom w:val="0"/>
      <w:divBdr>
        <w:top w:val="none" w:sz="0" w:space="0" w:color="auto"/>
        <w:left w:val="none" w:sz="0" w:space="0" w:color="auto"/>
        <w:bottom w:val="none" w:sz="0" w:space="0" w:color="auto"/>
        <w:right w:val="none" w:sz="0" w:space="0" w:color="auto"/>
      </w:divBdr>
    </w:div>
    <w:div w:id="1048796563">
      <w:bodyDiv w:val="1"/>
      <w:marLeft w:val="0"/>
      <w:marRight w:val="0"/>
      <w:marTop w:val="0"/>
      <w:marBottom w:val="0"/>
      <w:divBdr>
        <w:top w:val="none" w:sz="0" w:space="0" w:color="auto"/>
        <w:left w:val="none" w:sz="0" w:space="0" w:color="auto"/>
        <w:bottom w:val="none" w:sz="0" w:space="0" w:color="auto"/>
        <w:right w:val="none" w:sz="0" w:space="0" w:color="auto"/>
      </w:divBdr>
    </w:div>
    <w:div w:id="1457871997">
      <w:bodyDiv w:val="1"/>
      <w:marLeft w:val="0"/>
      <w:marRight w:val="0"/>
      <w:marTop w:val="0"/>
      <w:marBottom w:val="0"/>
      <w:divBdr>
        <w:top w:val="none" w:sz="0" w:space="0" w:color="auto"/>
        <w:left w:val="none" w:sz="0" w:space="0" w:color="auto"/>
        <w:bottom w:val="none" w:sz="0" w:space="0" w:color="auto"/>
        <w:right w:val="none" w:sz="0" w:space="0" w:color="auto"/>
      </w:divBdr>
    </w:div>
    <w:div w:id="1738162778">
      <w:bodyDiv w:val="1"/>
      <w:marLeft w:val="0"/>
      <w:marRight w:val="0"/>
      <w:marTop w:val="0"/>
      <w:marBottom w:val="0"/>
      <w:divBdr>
        <w:top w:val="none" w:sz="0" w:space="0" w:color="auto"/>
        <w:left w:val="none" w:sz="0" w:space="0" w:color="auto"/>
        <w:bottom w:val="none" w:sz="0" w:space="0" w:color="auto"/>
        <w:right w:val="none" w:sz="0" w:space="0" w:color="auto"/>
      </w:divBdr>
    </w:div>
    <w:div w:id="1980765387">
      <w:bodyDiv w:val="1"/>
      <w:marLeft w:val="0"/>
      <w:marRight w:val="0"/>
      <w:marTop w:val="0"/>
      <w:marBottom w:val="0"/>
      <w:divBdr>
        <w:top w:val="none" w:sz="0" w:space="0" w:color="auto"/>
        <w:left w:val="none" w:sz="0" w:space="0" w:color="auto"/>
        <w:bottom w:val="none" w:sz="0" w:space="0" w:color="auto"/>
        <w:right w:val="none" w:sz="0" w:space="0" w:color="auto"/>
      </w:divBdr>
    </w:div>
    <w:div w:id="208171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862F-DE70-4083-B19F-68D163BD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Pages>
  <Words>1028</Words>
  <Characters>6068</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Česká obchodní inspekce</vt:lpstr>
    </vt:vector>
  </TitlesOfParts>
  <Company>COI</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Česká obchodní inspekce</dc:title>
  <dc:subject/>
  <dc:creator>vjanca</dc:creator>
  <cp:keywords/>
  <dc:description/>
  <cp:lastModifiedBy>Tichota Ondřej</cp:lastModifiedBy>
  <cp:revision>31</cp:revision>
  <cp:lastPrinted>2020-03-20T08:49:00Z</cp:lastPrinted>
  <dcterms:created xsi:type="dcterms:W3CDTF">2021-01-30T20:30:00Z</dcterms:created>
  <dcterms:modified xsi:type="dcterms:W3CDTF">2021-03-29T11:00:00Z</dcterms:modified>
</cp:coreProperties>
</file>