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3C74" w14:textId="77777777" w:rsidR="00F1756F" w:rsidRPr="00F1756F" w:rsidRDefault="00F1756F" w:rsidP="00F1756F">
      <w:pPr>
        <w:spacing w:before="240"/>
        <w:jc w:val="right"/>
        <w:rPr>
          <w:rFonts w:cstheme="minorHAnsi"/>
          <w:color w:val="2658A5"/>
          <w:sz w:val="48"/>
          <w:szCs w:val="48"/>
          <w:lang w:val="en-GB"/>
        </w:rPr>
      </w:pPr>
      <w:r w:rsidRPr="00F1756F">
        <w:rPr>
          <w:rFonts w:cstheme="minorHAnsi"/>
          <w:color w:val="2658A5"/>
          <w:sz w:val="48"/>
          <w:szCs w:val="48"/>
          <w:lang w:val="en-GB" w:eastAsia="cs-CZ"/>
        </w:rPr>
        <w:drawing>
          <wp:anchor distT="0" distB="0" distL="114300" distR="114300" simplePos="0" relativeHeight="251659264" behindDoc="0" locked="0" layoutInCell="1" allowOverlap="1" wp14:anchorId="7B51F6D1" wp14:editId="1276B779">
            <wp:simplePos x="0" y="0"/>
            <wp:positionH relativeFrom="column">
              <wp:posOffset>-156845</wp:posOffset>
            </wp:positionH>
            <wp:positionV relativeFrom="paragraph">
              <wp:posOffset>-72390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F1756F">
        <w:rPr>
          <w:rFonts w:cstheme="minorHAnsi"/>
          <w:color w:val="2658A5"/>
          <w:sz w:val="48"/>
          <w:szCs w:val="48"/>
          <w:lang w:val="en-GB"/>
        </w:rPr>
        <w:t>PRESS RELEASE</w:t>
      </w:r>
    </w:p>
    <w:p w14:paraId="75774BEA" w14:textId="60887172" w:rsidR="00F1756F" w:rsidRPr="00F1756F" w:rsidRDefault="00F1756F" w:rsidP="00F1756F">
      <w:pPr>
        <w:pStyle w:val="Normlnweb"/>
        <w:rPr>
          <w:rFonts w:asciiTheme="minorHAnsi" w:eastAsiaTheme="minorHAnsi" w:hAnsiTheme="minorHAnsi" w:cstheme="minorHAnsi"/>
          <w:b/>
          <w:bCs/>
          <w:color w:val="2658A5"/>
          <w:sz w:val="32"/>
          <w:szCs w:val="32"/>
          <w:lang w:val="en-GB" w:eastAsia="en-US"/>
        </w:rPr>
      </w:pPr>
      <w:r w:rsidRPr="00F1756F">
        <w:rPr>
          <w:rFonts w:asciiTheme="minorHAnsi" w:eastAsiaTheme="minorHAnsi" w:hAnsiTheme="minorHAnsi" w:cstheme="minorHAnsi"/>
          <w:b/>
          <w:bCs/>
          <w:color w:val="2658A5"/>
          <w:sz w:val="32"/>
          <w:szCs w:val="32"/>
          <w:lang w:val="en-GB" w:eastAsia="en-US"/>
        </w:rPr>
        <w:br/>
      </w:r>
      <w:r w:rsidRPr="00F1756F">
        <w:rPr>
          <w:rFonts w:asciiTheme="minorHAnsi" w:eastAsiaTheme="minorHAnsi" w:hAnsiTheme="minorHAnsi" w:cstheme="minorHAnsi"/>
          <w:b/>
          <w:bCs/>
          <w:color w:val="2658A5"/>
          <w:sz w:val="32"/>
          <w:szCs w:val="32"/>
          <w:lang w:val="en-GB" w:eastAsia="en-US"/>
        </w:rPr>
        <w:t>Last year, CTIA seized 29,991 items of counterfeit goods for more than CZK 97.5 million</w:t>
      </w:r>
    </w:p>
    <w:p w14:paraId="7CA8541A"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i/>
          <w:iCs/>
          <w:lang w:val="en-GB"/>
        </w:rPr>
        <w:t>(Final report for 2024)</w:t>
      </w:r>
    </w:p>
    <w:p w14:paraId="60AF72A3"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(Prague, 24 March 2025) </w:t>
      </w:r>
      <w:r w:rsidRPr="00F1756F">
        <w:rPr>
          <w:rFonts w:asciiTheme="minorHAnsi" w:hAnsiTheme="minorHAnsi" w:cstheme="minorHAnsi"/>
          <w:b/>
          <w:bCs/>
          <w:lang w:val="en-GB"/>
        </w:rPr>
        <w:t>During the last year, the Czech Trade Inspection Authority focused on inspections of compliance with the ban on the offer, sale and storage of products infringing certain intellectual property rights.</w:t>
      </w:r>
      <w:r w:rsidRPr="00F1756F">
        <w:rPr>
          <w:rFonts w:asciiTheme="minorHAnsi" w:hAnsiTheme="minorHAnsi" w:cstheme="minorHAnsi"/>
          <w:lang w:val="en-GB"/>
        </w:rPr>
        <w:t xml:space="preserve"> </w:t>
      </w:r>
      <w:r w:rsidRPr="00F1756F">
        <w:rPr>
          <w:rFonts w:asciiTheme="minorHAnsi" w:hAnsiTheme="minorHAnsi" w:cstheme="minorHAnsi"/>
          <w:b/>
          <w:bCs/>
          <w:lang w:val="en-GB"/>
        </w:rPr>
        <w:t>It carried out 714 inspections and found breaches of the prohibition on the offer, sale and storage of products infringing certain intellectual property rights in 274 inspections (38.38%).</w:t>
      </w:r>
    </w:p>
    <w:p w14:paraId="45CDC788"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All regional inspectorates of the CTIA were involved in the year-long inspection action aimed at the compliance with the obligations arising from the provisions of Section 8 of Act No. 634/1992 Coll., on Consumer Protection. According to this provision, it is prohibited to offer, </w:t>
      </w:r>
      <w:proofErr w:type="gramStart"/>
      <w:r w:rsidRPr="00F1756F">
        <w:rPr>
          <w:rFonts w:asciiTheme="minorHAnsi" w:hAnsiTheme="minorHAnsi" w:cstheme="minorHAnsi"/>
          <w:lang w:val="en-GB"/>
        </w:rPr>
        <w:t>sell</w:t>
      </w:r>
      <w:proofErr w:type="gramEnd"/>
      <w:r w:rsidRPr="00F1756F">
        <w:rPr>
          <w:rFonts w:asciiTheme="minorHAnsi" w:hAnsiTheme="minorHAnsi" w:cstheme="minorHAnsi"/>
          <w:lang w:val="en-GB"/>
        </w:rPr>
        <w:t xml:space="preserve"> and store products infringing certain intellectual property rights or unauthorised use of a designation protected under a special legal regulation. A total of 714 inspections were carried out between 2 January and 31 December 2024. Violations of the legislation were detected in 477 inspections (66.81%), of which 274 inspections found a violation of the prohibition on offering, </w:t>
      </w:r>
      <w:proofErr w:type="gramStart"/>
      <w:r w:rsidRPr="00F1756F">
        <w:rPr>
          <w:rFonts w:asciiTheme="minorHAnsi" w:hAnsiTheme="minorHAnsi" w:cstheme="minorHAnsi"/>
          <w:lang w:val="en-GB"/>
        </w:rPr>
        <w:t>selling</w:t>
      </w:r>
      <w:proofErr w:type="gramEnd"/>
      <w:r w:rsidRPr="00F1756F">
        <w:rPr>
          <w:rFonts w:asciiTheme="minorHAnsi" w:hAnsiTheme="minorHAnsi" w:cstheme="minorHAnsi"/>
          <w:lang w:val="en-GB"/>
        </w:rPr>
        <w:t xml:space="preserve"> and storing products infringing certain intellectual property rights, representing 38.38% of the inspections carried out.</w:t>
      </w:r>
    </w:p>
    <w:p w14:paraId="026C90F7"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Based on the infringements of legal regulations detected in the framework of the inspection action, a </w:t>
      </w:r>
      <w:r w:rsidRPr="00F1756F">
        <w:rPr>
          <w:rFonts w:asciiTheme="minorHAnsi" w:hAnsiTheme="minorHAnsi" w:cstheme="minorHAnsi"/>
          <w:b/>
          <w:bCs/>
          <w:lang w:val="en-GB"/>
        </w:rPr>
        <w:t>total of 409 fines amounting to CZK 6,897,500 were lawfully imposed in 2024.</w:t>
      </w:r>
    </w:p>
    <w:p w14:paraId="1A01FE11"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In addition to sanction measures, a </w:t>
      </w:r>
      <w:r w:rsidRPr="00F1756F">
        <w:rPr>
          <w:rFonts w:asciiTheme="minorHAnsi" w:hAnsiTheme="minorHAnsi" w:cstheme="minorHAnsi"/>
          <w:b/>
          <w:bCs/>
          <w:lang w:val="en-GB"/>
        </w:rPr>
        <w:t xml:space="preserve">total of 29,991 items of counterfeit goods were taken and stored beyond the reach of the persons subject to inspection, with a value of CZK 97,621,016 calculated in the prices of the originals </w:t>
      </w:r>
      <w:r w:rsidRPr="00F1756F">
        <w:rPr>
          <w:rFonts w:asciiTheme="minorHAnsi" w:hAnsiTheme="minorHAnsi" w:cstheme="minorHAnsi"/>
          <w:lang w:val="en-GB"/>
        </w:rPr>
        <w:t>(the prices of the originals are indicative). The seized products were stored out of the reach of the inspected persons in accordance with the provisions of Section 7b of Act No. 64/1986 Coll., on the Czech Trade Inspection Authority. Products that do not comply with special legal provisions, which are subject to a final decision on their forfeiture or seizure, are subsequently destroyed or used for humanitarian purposes.</w:t>
      </w:r>
    </w:p>
    <w:p w14:paraId="597C9DB4"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When carrying out inspections on the compliance with the prohibition to offer, sell and store products infringing certain intellectual property rights, during which the monitored products were seized, cooperation with other state administration bodies, namely trade licensing authorities, was used in 17 cases.</w:t>
      </w:r>
    </w:p>
    <w:p w14:paraId="1CBAF6D5"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Although the CTIA carries out an annual inspection action focused on the compliance with the ban on the offer, sale and storage of products infringing certain intellectual property rights or the unauthorised use of a designation protected under a special legal regulation, there is still a significant incidence of infringements in this area, as evidenced by the high ratio of findings. During their inspections, inspectors focused on border areas, where sales in </w:t>
      </w:r>
      <w:r w:rsidRPr="00F1756F">
        <w:rPr>
          <w:rFonts w:asciiTheme="minorHAnsi" w:hAnsiTheme="minorHAnsi" w:cstheme="minorHAnsi"/>
          <w:lang w:val="en-GB"/>
        </w:rPr>
        <w:lastRenderedPageBreak/>
        <w:t xml:space="preserve">stands predominate, as well as on ordinary shops in the region and, </w:t>
      </w:r>
      <w:proofErr w:type="gramStart"/>
      <w:r w:rsidRPr="00F1756F">
        <w:rPr>
          <w:rFonts w:asciiTheme="minorHAnsi" w:hAnsiTheme="minorHAnsi" w:cstheme="minorHAnsi"/>
          <w:lang w:val="en-GB"/>
        </w:rPr>
        <w:t>last but not least</w:t>
      </w:r>
      <w:proofErr w:type="gramEnd"/>
      <w:r w:rsidRPr="00F1756F">
        <w:rPr>
          <w:rFonts w:asciiTheme="minorHAnsi" w:hAnsiTheme="minorHAnsi" w:cstheme="minorHAnsi"/>
          <w:lang w:val="en-GB"/>
        </w:rPr>
        <w:t>, on e-shops.</w:t>
      </w:r>
    </w:p>
    <w:p w14:paraId="4B9C0732"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 xml:space="preserve">In terms of product range, the most frequent infringements of intellectual property rights were in textiles products and products primarily intended for children (toys and games). Of the total number of products taken, </w:t>
      </w:r>
      <w:proofErr w:type="spellStart"/>
      <w:r w:rsidRPr="00F1756F">
        <w:rPr>
          <w:rFonts w:asciiTheme="minorHAnsi" w:hAnsiTheme="minorHAnsi" w:cstheme="minorHAnsi"/>
          <w:lang w:val="en-GB"/>
        </w:rPr>
        <w:t>PokémonWizards</w:t>
      </w:r>
      <w:proofErr w:type="spellEnd"/>
      <w:r w:rsidRPr="00F1756F">
        <w:rPr>
          <w:rFonts w:asciiTheme="minorHAnsi" w:hAnsiTheme="minorHAnsi" w:cstheme="minorHAnsi"/>
          <w:lang w:val="en-GB"/>
        </w:rPr>
        <w:t xml:space="preserve">, Nike, KARL LAGERFELD, Tommy </w:t>
      </w:r>
      <w:proofErr w:type="spellStart"/>
      <w:r w:rsidRPr="00F1756F">
        <w:rPr>
          <w:rFonts w:asciiTheme="minorHAnsi" w:hAnsiTheme="minorHAnsi" w:cstheme="minorHAnsi"/>
          <w:lang w:val="en-GB"/>
        </w:rPr>
        <w:t>Hilfinger</w:t>
      </w:r>
      <w:proofErr w:type="spellEnd"/>
      <w:r w:rsidRPr="00F1756F">
        <w:rPr>
          <w:rFonts w:asciiTheme="minorHAnsi" w:hAnsiTheme="minorHAnsi" w:cstheme="minorHAnsi"/>
          <w:lang w:val="en-GB"/>
        </w:rPr>
        <w:t>, Guess, Adidas, or Louis Vuitton were the dominating brands in terms of the number of trademarks seized.</w:t>
      </w:r>
    </w:p>
    <w:p w14:paraId="3BCCDD62" w14:textId="77777777" w:rsidR="00F1756F" w:rsidRPr="00F1756F" w:rsidRDefault="00F1756F" w:rsidP="00F1756F">
      <w:pPr>
        <w:pStyle w:val="Normlnweb"/>
        <w:rPr>
          <w:rFonts w:asciiTheme="minorHAnsi" w:hAnsiTheme="minorHAnsi" w:cstheme="minorHAnsi"/>
          <w:lang w:val="en-GB"/>
        </w:rPr>
      </w:pPr>
      <w:r w:rsidRPr="00F1756F">
        <w:rPr>
          <w:rFonts w:asciiTheme="minorHAnsi" w:hAnsiTheme="minorHAnsi" w:cstheme="minorHAnsi"/>
          <w:lang w:val="en-GB"/>
        </w:rPr>
        <w:t>The share of each product group in the total amount of products seized for suspected infringement of an intellectual property right is demonstrated in the following graph:</w:t>
      </w:r>
    </w:p>
    <w:p w14:paraId="3D55D8BC" w14:textId="77777777" w:rsidR="00F1756F" w:rsidRPr="00F1756F" w:rsidRDefault="00F1756F" w:rsidP="00F1756F">
      <w:pPr>
        <w:pStyle w:val="Normlnweb"/>
        <w:rPr>
          <w:rFonts w:asciiTheme="minorHAnsi" w:eastAsiaTheme="minorHAnsi" w:hAnsiTheme="minorHAnsi" w:cstheme="minorHAnsi"/>
          <w:b/>
          <w:bCs/>
          <w:sz w:val="20"/>
          <w:szCs w:val="20"/>
          <w:u w:val="single"/>
          <w:lang w:val="en-GB" w:eastAsia="en-US"/>
        </w:rPr>
      </w:pPr>
      <w:r w:rsidRPr="00F1756F">
        <w:rPr>
          <w:rFonts w:asciiTheme="minorHAnsi" w:eastAsiaTheme="minorHAnsi" w:hAnsiTheme="minorHAnsi" w:cstheme="minorHAnsi"/>
          <w:b/>
          <w:bCs/>
          <w:sz w:val="20"/>
          <w:szCs w:val="20"/>
          <w:u w:val="single"/>
          <w:lang w:val="en-GB" w:eastAsia="en-US"/>
        </w:rPr>
        <w:t xml:space="preserve">Chart 1: Share of product groups in the total volume of products </w:t>
      </w:r>
      <w:proofErr w:type="gramStart"/>
      <w:r w:rsidRPr="00F1756F">
        <w:rPr>
          <w:rFonts w:asciiTheme="minorHAnsi" w:eastAsiaTheme="minorHAnsi" w:hAnsiTheme="minorHAnsi" w:cstheme="minorHAnsi"/>
          <w:b/>
          <w:bCs/>
          <w:sz w:val="20"/>
          <w:szCs w:val="20"/>
          <w:u w:val="single"/>
          <w:lang w:val="en-GB" w:eastAsia="en-US"/>
        </w:rPr>
        <w:t>seized</w:t>
      </w:r>
      <w:proofErr w:type="gramEnd"/>
    </w:p>
    <w:p w14:paraId="4A199195" w14:textId="04B8B36C" w:rsidR="000160A2" w:rsidRPr="00F1756F" w:rsidRDefault="005A4C0C" w:rsidP="000160A2">
      <w:pPr>
        <w:rPr>
          <w:rFonts w:cstheme="minorHAnsi"/>
          <w:b/>
          <w:bCs/>
          <w:sz w:val="20"/>
          <w:szCs w:val="20"/>
          <w:u w:val="single"/>
          <w:lang w:val="en-GB"/>
        </w:rPr>
      </w:pPr>
      <w:r w:rsidRPr="00F1756F">
        <w:rPr>
          <w:rFonts w:cstheme="minorHAnsi"/>
          <w:lang w:val="en-GB"/>
        </w:rPr>
        <w:drawing>
          <wp:inline distT="0" distB="0" distL="0" distR="0" wp14:anchorId="3CC7F70C" wp14:editId="33CB73F8">
            <wp:extent cx="5760720" cy="2432686"/>
            <wp:effectExtent l="0" t="0" r="11430" b="5715"/>
            <wp:docPr id="1782548164"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BD2A26" w14:textId="77777777" w:rsidR="00534491" w:rsidRPr="00F1756F" w:rsidRDefault="00534491" w:rsidP="000160A2">
      <w:pPr>
        <w:jc w:val="both"/>
        <w:rPr>
          <w:rFonts w:cstheme="minorHAnsi"/>
          <w:sz w:val="20"/>
          <w:szCs w:val="20"/>
          <w:lang w:val="en-GB"/>
        </w:rPr>
      </w:pPr>
    </w:p>
    <w:p w14:paraId="707B9CCA" w14:textId="77777777" w:rsidR="00F1756F" w:rsidRPr="00F1756F" w:rsidRDefault="00F1756F" w:rsidP="00F1756F">
      <w:pPr>
        <w:pStyle w:val="Normlnweb"/>
        <w:rPr>
          <w:rFonts w:asciiTheme="minorHAnsi" w:eastAsiaTheme="minorHAnsi" w:hAnsiTheme="minorHAnsi" w:cstheme="minorHAnsi"/>
          <w:sz w:val="20"/>
          <w:szCs w:val="20"/>
          <w:lang w:val="en-GB" w:eastAsia="en-US"/>
        </w:rPr>
      </w:pPr>
      <w:r w:rsidRPr="00F1756F">
        <w:rPr>
          <w:rFonts w:asciiTheme="minorHAnsi" w:eastAsiaTheme="minorHAnsi" w:hAnsiTheme="minorHAnsi" w:cstheme="minorHAnsi"/>
          <w:sz w:val="20"/>
          <w:szCs w:val="20"/>
          <w:lang w:val="en-GB" w:eastAsia="en-US"/>
        </w:rPr>
        <w:t>The following graph presents the share of selected trademarks in the total quantity of products</w:t>
      </w:r>
      <w:r w:rsidRPr="00F1756F">
        <w:rPr>
          <w:lang w:val="en-GB"/>
        </w:rPr>
        <w:t xml:space="preserve"> </w:t>
      </w:r>
      <w:r w:rsidRPr="00F1756F">
        <w:rPr>
          <w:rFonts w:asciiTheme="minorHAnsi" w:eastAsiaTheme="minorHAnsi" w:hAnsiTheme="minorHAnsi" w:cstheme="minorHAnsi"/>
          <w:sz w:val="20"/>
          <w:szCs w:val="20"/>
          <w:lang w:val="en-GB" w:eastAsia="en-US"/>
        </w:rPr>
        <w:t>collected. Trademarks not listed were present in fewer than 550 products seized.</w:t>
      </w:r>
    </w:p>
    <w:p w14:paraId="513AE43F" w14:textId="77777777" w:rsidR="00F1756F" w:rsidRPr="00F1756F" w:rsidRDefault="00F1756F" w:rsidP="00F1756F">
      <w:pPr>
        <w:rPr>
          <w:rFonts w:cstheme="minorHAnsi"/>
          <w:b/>
          <w:bCs/>
          <w:sz w:val="20"/>
          <w:szCs w:val="20"/>
          <w:u w:val="single"/>
          <w:lang w:val="en-GB"/>
        </w:rPr>
      </w:pPr>
      <w:r w:rsidRPr="00F1756F">
        <w:rPr>
          <w:rFonts w:cstheme="minorHAnsi"/>
          <w:b/>
          <w:bCs/>
          <w:sz w:val="20"/>
          <w:szCs w:val="20"/>
          <w:u w:val="single"/>
          <w:lang w:val="en-GB"/>
        </w:rPr>
        <w:t>Chart 2: Seized products by trademark (over 550 units)</w:t>
      </w:r>
    </w:p>
    <w:p w14:paraId="1BE7D3EA" w14:textId="6DB9DB8F" w:rsidR="00656822" w:rsidRPr="00F1756F" w:rsidRDefault="005A4C0C" w:rsidP="00F1756F">
      <w:pPr>
        <w:rPr>
          <w:rFonts w:cstheme="minorHAnsi"/>
          <w:sz w:val="20"/>
          <w:szCs w:val="20"/>
          <w:u w:val="single"/>
          <w:lang w:val="en-GB"/>
        </w:rPr>
      </w:pPr>
      <w:r w:rsidRPr="00F1756F">
        <w:rPr>
          <w:rFonts w:cstheme="minorHAnsi"/>
          <w:lang w:val="en-GB"/>
        </w:rPr>
        <w:drawing>
          <wp:inline distT="0" distB="0" distL="0" distR="0" wp14:anchorId="1BB3E77C" wp14:editId="51653C69">
            <wp:extent cx="5760720" cy="2753658"/>
            <wp:effectExtent l="0" t="0" r="11430" b="8890"/>
            <wp:docPr id="334377192" name="Graf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656822" w:rsidRPr="00F1756F" w:rsidSect="00F1756F">
      <w:headerReference w:type="default" r:id="rId11"/>
      <w:footerReference w:type="default" r:id="rId12"/>
      <w:pgSz w:w="11906" w:h="16838"/>
      <w:pgMar w:top="1134" w:right="1417" w:bottom="1276"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2293" w14:textId="77777777" w:rsidR="000D711E" w:rsidRDefault="000D711E" w:rsidP="00807D68">
      <w:pPr>
        <w:spacing w:after="0" w:line="240" w:lineRule="auto"/>
      </w:pPr>
      <w:r>
        <w:separator/>
      </w:r>
    </w:p>
  </w:endnote>
  <w:endnote w:type="continuationSeparator" w:id="0">
    <w:p w14:paraId="5D1065B9" w14:textId="77777777" w:rsidR="000D711E" w:rsidRDefault="000D711E"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CFB0" w14:textId="77777777" w:rsidR="00F1756F" w:rsidRPr="000B3C18" w:rsidRDefault="00F1756F" w:rsidP="00F1756F">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6B03958C" wp14:editId="038D0104">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28772A03" w14:textId="77777777" w:rsidR="00F1756F" w:rsidRPr="001458E6" w:rsidRDefault="00F1756F" w:rsidP="00F1756F">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B03958C"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28772A03" w14:textId="77777777" w:rsidR="00F1756F" w:rsidRPr="001458E6" w:rsidRDefault="00F1756F" w:rsidP="00F1756F">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536CB252" wp14:editId="0C01D2A7">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7E936B42" w14:textId="77777777" w:rsidR="00F1756F" w:rsidRPr="001458E6" w:rsidRDefault="00F1756F" w:rsidP="00F1756F">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9962E4">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36CB252"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7E936B42" w14:textId="77777777" w:rsidR="00F1756F" w:rsidRPr="001458E6" w:rsidRDefault="00F1756F" w:rsidP="00F1756F">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9962E4">
                      <w:rPr>
                        <w:rFonts w:ascii="Arial" w:hAnsi="Arial" w:cs="Arial"/>
                        <w:bCs/>
                        <w:color w:val="2658A5"/>
                        <w:sz w:val="18"/>
                        <w:szCs w:val="18"/>
                        <w:lang w:val="en-US"/>
                      </w:rPr>
                      <w:t>@coi.gov.cz</w:t>
                    </w:r>
                  </w:p>
                </w:txbxContent>
              </v:textbox>
            </v:shape>
          </w:pict>
        </mc:Fallback>
      </mc:AlternateContent>
    </w:r>
  </w:p>
  <w:p w14:paraId="66DA97EF" w14:textId="77777777" w:rsidR="00F1756F" w:rsidRPr="009962E4" w:rsidRDefault="00F1756F" w:rsidP="00F17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97B5" w14:textId="77777777" w:rsidR="000D711E" w:rsidRDefault="000D711E" w:rsidP="00807D68">
      <w:pPr>
        <w:spacing w:after="0" w:line="240" w:lineRule="auto"/>
      </w:pPr>
      <w:r>
        <w:separator/>
      </w:r>
    </w:p>
  </w:footnote>
  <w:footnote w:type="continuationSeparator" w:id="0">
    <w:p w14:paraId="2E689CE4" w14:textId="77777777" w:rsidR="000D711E" w:rsidRDefault="000D711E"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DF6"/>
    <w:multiLevelType w:val="hybridMultilevel"/>
    <w:tmpl w:val="FA3A33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8FB158A"/>
    <w:multiLevelType w:val="hybridMultilevel"/>
    <w:tmpl w:val="E362D29E"/>
    <w:lvl w:ilvl="0" w:tplc="90184EF8">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 w15:restartNumberingAfterBreak="0">
    <w:nsid w:val="1CD43469"/>
    <w:multiLevelType w:val="hybridMultilevel"/>
    <w:tmpl w:val="79FE67E8"/>
    <w:lvl w:ilvl="0" w:tplc="CA5831C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771E44"/>
    <w:multiLevelType w:val="hybridMultilevel"/>
    <w:tmpl w:val="86C49B60"/>
    <w:lvl w:ilvl="0" w:tplc="352E771C">
      <w:start w:val="1"/>
      <w:numFmt w:val="lowerLetter"/>
      <w:lvlText w:val="%1)"/>
      <w:lvlJc w:val="left"/>
      <w:pPr>
        <w:ind w:left="345" w:hanging="360"/>
      </w:pPr>
      <w:rPr>
        <w:rFonts w:ascii="Arial" w:eastAsiaTheme="minorHAnsi" w:hAnsi="Arial" w:cs="Arial"/>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4" w15:restartNumberingAfterBreak="0">
    <w:nsid w:val="2988097F"/>
    <w:multiLevelType w:val="hybridMultilevel"/>
    <w:tmpl w:val="DF9AB0D8"/>
    <w:lvl w:ilvl="0" w:tplc="066234B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5" w15:restartNumberingAfterBreak="0">
    <w:nsid w:val="3F5A1D76"/>
    <w:multiLevelType w:val="hybridMultilevel"/>
    <w:tmpl w:val="9BCA0DBC"/>
    <w:lvl w:ilvl="0" w:tplc="66261D70">
      <w:start w:val="1"/>
      <w:numFmt w:val="bullet"/>
      <w:lvlText w:val="-"/>
      <w:lvlJc w:val="left"/>
      <w:pPr>
        <w:ind w:left="345" w:hanging="360"/>
      </w:pPr>
      <w:rPr>
        <w:rFonts w:ascii="Arial" w:eastAsiaTheme="minorHAnsi"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6" w15:restartNumberingAfterBreak="0">
    <w:nsid w:val="46882194"/>
    <w:multiLevelType w:val="hybridMultilevel"/>
    <w:tmpl w:val="09B49B16"/>
    <w:lvl w:ilvl="0" w:tplc="3F306272">
      <w:start w:val="1"/>
      <w:numFmt w:val="bullet"/>
      <w:lvlText w:val="-"/>
      <w:lvlJc w:val="left"/>
      <w:pPr>
        <w:ind w:left="705" w:hanging="360"/>
      </w:pPr>
      <w:rPr>
        <w:rFonts w:ascii="Arial" w:eastAsia="Calibri" w:hAnsi="Arial" w:cs="Aria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15:restartNumberingAfterBreak="0">
    <w:nsid w:val="58E46094"/>
    <w:multiLevelType w:val="hybridMultilevel"/>
    <w:tmpl w:val="0666F1F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Courier New"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Courier New" w:hint="default"/>
      </w:rPr>
    </w:lvl>
    <w:lvl w:ilvl="8" w:tplc="04050005">
      <w:start w:val="1"/>
      <w:numFmt w:val="bullet"/>
      <w:lvlText w:val=""/>
      <w:lvlJc w:val="left"/>
      <w:pPr>
        <w:ind w:left="6481" w:hanging="360"/>
      </w:pPr>
      <w:rPr>
        <w:rFonts w:ascii="Wingdings" w:hAnsi="Wingdings" w:hint="default"/>
      </w:rPr>
    </w:lvl>
  </w:abstractNum>
  <w:abstractNum w:abstractNumId="8" w15:restartNumberingAfterBreak="0">
    <w:nsid w:val="69BC2EA4"/>
    <w:multiLevelType w:val="hybridMultilevel"/>
    <w:tmpl w:val="1D1C3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004778"/>
    <w:multiLevelType w:val="hybridMultilevel"/>
    <w:tmpl w:val="F41A51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A395D18"/>
    <w:multiLevelType w:val="hybridMultilevel"/>
    <w:tmpl w:val="C9160142"/>
    <w:lvl w:ilvl="0" w:tplc="90F21DC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1" w15:restartNumberingAfterBreak="0">
    <w:nsid w:val="6EE815A3"/>
    <w:multiLevelType w:val="hybridMultilevel"/>
    <w:tmpl w:val="F81CF32C"/>
    <w:lvl w:ilvl="0" w:tplc="65A26D1A">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3089669">
    <w:abstractNumId w:val="0"/>
  </w:num>
  <w:num w:numId="2" w16cid:durableId="869418837">
    <w:abstractNumId w:val="8"/>
  </w:num>
  <w:num w:numId="3" w16cid:durableId="2068453111">
    <w:abstractNumId w:val="3"/>
  </w:num>
  <w:num w:numId="4" w16cid:durableId="1930965393">
    <w:abstractNumId w:val="10"/>
  </w:num>
  <w:num w:numId="5" w16cid:durableId="233050446">
    <w:abstractNumId w:val="11"/>
  </w:num>
  <w:num w:numId="6" w16cid:durableId="770780540">
    <w:abstractNumId w:val="5"/>
  </w:num>
  <w:num w:numId="7" w16cid:durableId="800730174">
    <w:abstractNumId w:val="4"/>
  </w:num>
  <w:num w:numId="8" w16cid:durableId="242567924">
    <w:abstractNumId w:val="1"/>
  </w:num>
  <w:num w:numId="9" w16cid:durableId="190656538">
    <w:abstractNumId w:val="6"/>
  </w:num>
  <w:num w:numId="10" w16cid:durableId="144471249">
    <w:abstractNumId w:val="2"/>
  </w:num>
  <w:num w:numId="11" w16cid:durableId="480660265">
    <w:abstractNumId w:val="7"/>
  </w:num>
  <w:num w:numId="12" w16cid:durableId="1872765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160A2"/>
    <w:rsid w:val="00024453"/>
    <w:rsid w:val="00056E6A"/>
    <w:rsid w:val="000741E3"/>
    <w:rsid w:val="000B3C18"/>
    <w:rsid w:val="000B3ECB"/>
    <w:rsid w:val="000D711E"/>
    <w:rsid w:val="000E2C64"/>
    <w:rsid w:val="0010721B"/>
    <w:rsid w:val="0012213F"/>
    <w:rsid w:val="00122D8D"/>
    <w:rsid w:val="00141B60"/>
    <w:rsid w:val="00142850"/>
    <w:rsid w:val="00143E7B"/>
    <w:rsid w:val="001472E1"/>
    <w:rsid w:val="00152827"/>
    <w:rsid w:val="00167F18"/>
    <w:rsid w:val="00192BDE"/>
    <w:rsid w:val="001C38DE"/>
    <w:rsid w:val="001D0E07"/>
    <w:rsid w:val="001D158E"/>
    <w:rsid w:val="001D5235"/>
    <w:rsid w:val="002012CC"/>
    <w:rsid w:val="00225F02"/>
    <w:rsid w:val="00254ECF"/>
    <w:rsid w:val="002726E7"/>
    <w:rsid w:val="002B7C92"/>
    <w:rsid w:val="002C2749"/>
    <w:rsid w:val="00350179"/>
    <w:rsid w:val="00363379"/>
    <w:rsid w:val="0037728A"/>
    <w:rsid w:val="003E3B85"/>
    <w:rsid w:val="003F2528"/>
    <w:rsid w:val="00432A70"/>
    <w:rsid w:val="0043419B"/>
    <w:rsid w:val="0046373B"/>
    <w:rsid w:val="00493D8C"/>
    <w:rsid w:val="00494ACB"/>
    <w:rsid w:val="0049637D"/>
    <w:rsid w:val="004C672D"/>
    <w:rsid w:val="004F3AA9"/>
    <w:rsid w:val="00526090"/>
    <w:rsid w:val="00534491"/>
    <w:rsid w:val="005545CE"/>
    <w:rsid w:val="005702A5"/>
    <w:rsid w:val="00571F26"/>
    <w:rsid w:val="00572CFD"/>
    <w:rsid w:val="00577B57"/>
    <w:rsid w:val="005837B9"/>
    <w:rsid w:val="005923C5"/>
    <w:rsid w:val="00592C1D"/>
    <w:rsid w:val="005A0FA4"/>
    <w:rsid w:val="005A3A49"/>
    <w:rsid w:val="005A4C0C"/>
    <w:rsid w:val="005B2A55"/>
    <w:rsid w:val="005C435F"/>
    <w:rsid w:val="005D105B"/>
    <w:rsid w:val="005E3D23"/>
    <w:rsid w:val="005F776A"/>
    <w:rsid w:val="0060731F"/>
    <w:rsid w:val="0061127C"/>
    <w:rsid w:val="00653A86"/>
    <w:rsid w:val="00656822"/>
    <w:rsid w:val="00663C7B"/>
    <w:rsid w:val="00681DA5"/>
    <w:rsid w:val="00693035"/>
    <w:rsid w:val="006D428D"/>
    <w:rsid w:val="006E3BFD"/>
    <w:rsid w:val="006E45AE"/>
    <w:rsid w:val="006F6413"/>
    <w:rsid w:val="0070124B"/>
    <w:rsid w:val="0073117A"/>
    <w:rsid w:val="00735C36"/>
    <w:rsid w:val="00752488"/>
    <w:rsid w:val="00771930"/>
    <w:rsid w:val="007A393D"/>
    <w:rsid w:val="007C3195"/>
    <w:rsid w:val="007C40CF"/>
    <w:rsid w:val="007E237F"/>
    <w:rsid w:val="007F1FC3"/>
    <w:rsid w:val="008078D2"/>
    <w:rsid w:val="00807D68"/>
    <w:rsid w:val="008614DF"/>
    <w:rsid w:val="008632A4"/>
    <w:rsid w:val="008647A3"/>
    <w:rsid w:val="00885497"/>
    <w:rsid w:val="00890135"/>
    <w:rsid w:val="0089254F"/>
    <w:rsid w:val="008F22C0"/>
    <w:rsid w:val="0090767D"/>
    <w:rsid w:val="00917CF5"/>
    <w:rsid w:val="0092339C"/>
    <w:rsid w:val="009266E9"/>
    <w:rsid w:val="00955DA0"/>
    <w:rsid w:val="00970F06"/>
    <w:rsid w:val="00971704"/>
    <w:rsid w:val="009E32D6"/>
    <w:rsid w:val="009F2D9C"/>
    <w:rsid w:val="00A04DA8"/>
    <w:rsid w:val="00A161BD"/>
    <w:rsid w:val="00A57931"/>
    <w:rsid w:val="00A66848"/>
    <w:rsid w:val="00A745C4"/>
    <w:rsid w:val="00A81783"/>
    <w:rsid w:val="00A95A44"/>
    <w:rsid w:val="00AD2EE9"/>
    <w:rsid w:val="00B205BA"/>
    <w:rsid w:val="00B20F24"/>
    <w:rsid w:val="00B23900"/>
    <w:rsid w:val="00B40171"/>
    <w:rsid w:val="00B44F4B"/>
    <w:rsid w:val="00B53C06"/>
    <w:rsid w:val="00B620E4"/>
    <w:rsid w:val="00B8270D"/>
    <w:rsid w:val="00B965F4"/>
    <w:rsid w:val="00B97A9C"/>
    <w:rsid w:val="00BD02A1"/>
    <w:rsid w:val="00BE29F2"/>
    <w:rsid w:val="00BF5CA1"/>
    <w:rsid w:val="00C241B4"/>
    <w:rsid w:val="00C41758"/>
    <w:rsid w:val="00C43D14"/>
    <w:rsid w:val="00C4704F"/>
    <w:rsid w:val="00C62D13"/>
    <w:rsid w:val="00C8558B"/>
    <w:rsid w:val="00C937E8"/>
    <w:rsid w:val="00C97D46"/>
    <w:rsid w:val="00CD11D7"/>
    <w:rsid w:val="00CE40CA"/>
    <w:rsid w:val="00CF6F01"/>
    <w:rsid w:val="00D00046"/>
    <w:rsid w:val="00D100A7"/>
    <w:rsid w:val="00D2107A"/>
    <w:rsid w:val="00D230ED"/>
    <w:rsid w:val="00D329DD"/>
    <w:rsid w:val="00D33380"/>
    <w:rsid w:val="00D37705"/>
    <w:rsid w:val="00D43992"/>
    <w:rsid w:val="00D66CD2"/>
    <w:rsid w:val="00D763A0"/>
    <w:rsid w:val="00D8316C"/>
    <w:rsid w:val="00D966A5"/>
    <w:rsid w:val="00DC5B7E"/>
    <w:rsid w:val="00E01D17"/>
    <w:rsid w:val="00E17BF0"/>
    <w:rsid w:val="00E27FB5"/>
    <w:rsid w:val="00E53779"/>
    <w:rsid w:val="00E561BC"/>
    <w:rsid w:val="00E677E5"/>
    <w:rsid w:val="00E8710D"/>
    <w:rsid w:val="00E90D9C"/>
    <w:rsid w:val="00E94584"/>
    <w:rsid w:val="00EA1D75"/>
    <w:rsid w:val="00EA39B4"/>
    <w:rsid w:val="00EB7FC9"/>
    <w:rsid w:val="00EC2399"/>
    <w:rsid w:val="00ED4CDF"/>
    <w:rsid w:val="00EF3E1F"/>
    <w:rsid w:val="00F168AF"/>
    <w:rsid w:val="00F1756F"/>
    <w:rsid w:val="00F34A6A"/>
    <w:rsid w:val="00F4039A"/>
    <w:rsid w:val="00F53C17"/>
    <w:rsid w:val="00F55D33"/>
    <w:rsid w:val="00F70880"/>
    <w:rsid w:val="00F9361B"/>
    <w:rsid w:val="00FB39B8"/>
    <w:rsid w:val="00FD0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F53C17"/>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6D428D"/>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locked/>
    <w:rsid w:val="006D428D"/>
    <w:rPr>
      <w:rFonts w:ascii="Times New Roman" w:eastAsia="Times New Roman" w:hAnsi="Times New Roman" w:cs="Times New Roman"/>
      <w:sz w:val="24"/>
      <w:szCs w:val="24"/>
      <w:lang w:eastAsia="cs-CZ"/>
    </w:rPr>
  </w:style>
  <w:style w:type="paragraph" w:customStyle="1" w:styleId="pf0">
    <w:name w:val="pf0"/>
    <w:basedOn w:val="Normln"/>
    <w:rsid w:val="004C67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C672D"/>
    <w:rPr>
      <w:rFonts w:ascii="Segoe UI" w:hAnsi="Segoe UI" w:cs="Segoe UI" w:hint="default"/>
      <w:sz w:val="18"/>
      <w:szCs w:val="18"/>
    </w:rPr>
  </w:style>
  <w:style w:type="paragraph" w:styleId="Revize">
    <w:name w:val="Revision"/>
    <w:hidden/>
    <w:uiPriority w:val="99"/>
    <w:semiHidden/>
    <w:rsid w:val="00F9361B"/>
    <w:pPr>
      <w:spacing w:after="0" w:line="240" w:lineRule="auto"/>
    </w:pPr>
  </w:style>
  <w:style w:type="paragraph" w:styleId="Normlnweb">
    <w:name w:val="Normal (Web)"/>
    <w:basedOn w:val="Normln"/>
    <w:uiPriority w:val="99"/>
    <w:semiHidden/>
    <w:unhideWhenUsed/>
    <w:rsid w:val="00F1756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4807">
      <w:bodyDiv w:val="1"/>
      <w:marLeft w:val="0"/>
      <w:marRight w:val="0"/>
      <w:marTop w:val="0"/>
      <w:marBottom w:val="0"/>
      <w:divBdr>
        <w:top w:val="none" w:sz="0" w:space="0" w:color="auto"/>
        <w:left w:val="none" w:sz="0" w:space="0" w:color="auto"/>
        <w:bottom w:val="none" w:sz="0" w:space="0" w:color="auto"/>
        <w:right w:val="none" w:sz="0" w:space="0" w:color="auto"/>
      </w:divBdr>
    </w:div>
    <w:div w:id="715809885">
      <w:bodyDiv w:val="1"/>
      <w:marLeft w:val="0"/>
      <w:marRight w:val="0"/>
      <w:marTop w:val="0"/>
      <w:marBottom w:val="0"/>
      <w:divBdr>
        <w:top w:val="none" w:sz="0" w:space="0" w:color="auto"/>
        <w:left w:val="none" w:sz="0" w:space="0" w:color="auto"/>
        <w:bottom w:val="none" w:sz="0" w:space="0" w:color="auto"/>
        <w:right w:val="none" w:sz="0" w:space="0" w:color="auto"/>
      </w:divBdr>
    </w:div>
    <w:div w:id="946042100">
      <w:bodyDiv w:val="1"/>
      <w:marLeft w:val="0"/>
      <w:marRight w:val="0"/>
      <w:marTop w:val="0"/>
      <w:marBottom w:val="0"/>
      <w:divBdr>
        <w:top w:val="none" w:sz="0" w:space="0" w:color="auto"/>
        <w:left w:val="none" w:sz="0" w:space="0" w:color="auto"/>
        <w:bottom w:val="none" w:sz="0" w:space="0" w:color="auto"/>
        <w:right w:val="none" w:sz="0" w:space="0" w:color="auto"/>
      </w:divBdr>
    </w:div>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coicz0-my.sharepoint.com/personal/stovicek_coi_cz/Documents/Plocha/Roman/Du&#353;evn&#237;%20vlastnictv&#237;%20-%20falza%202024/Grafy%20-%20po&#269;ty%20kus&#367;%20v&#253;robk&#367;%202024_falza_z&#225;v&#283;re&#269;n&#2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oicz0-my.sharepoint.com/personal/stovicek_coi_cz/Documents/Plocha/Roman/Du&#353;evn&#237;%20vlastnictv&#237;%20-%20falza%202024/Grafy%20-%20po&#269;ty%20kus&#367;%20v&#253;robk&#367;%202024_falza_z&#225;v&#283;re&#269;n&#2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3643845366788"/>
          <c:y val="6.4651165206371625E-2"/>
          <c:w val="0.86486351706036746"/>
          <c:h val="0.790818022747156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'[Grafy - počty kusů výrobků 2024_falza_závěrečná.xlsx]List1'!$B$3:$B$7</c:f>
              <c:strCache>
                <c:ptCount val="5"/>
                <c:pt idx="0">
                  <c:v>oděvy, textil</c:v>
                </c:pt>
                <c:pt idx="1">
                  <c:v>hračky a hry</c:v>
                </c:pt>
                <c:pt idx="2">
                  <c:v>obuv,kožená galenterie</c:v>
                </c:pt>
                <c:pt idx="3">
                  <c:v>hodinky a klenoty</c:v>
                </c:pt>
                <c:pt idx="4">
                  <c:v>audio</c:v>
                </c:pt>
              </c:strCache>
            </c:strRef>
          </c:cat>
          <c:val>
            <c:numRef>
              <c:f>'[Grafy - počty kusů výrobků 2024_falza_závěrečná.xlsx]List1'!$C$3:$C$7</c:f>
              <c:numCache>
                <c:formatCode>General</c:formatCode>
                <c:ptCount val="5"/>
                <c:pt idx="0">
                  <c:v>14463</c:v>
                </c:pt>
                <c:pt idx="1">
                  <c:v>8810</c:v>
                </c:pt>
                <c:pt idx="2">
                  <c:v>4484</c:v>
                </c:pt>
                <c:pt idx="3">
                  <c:v>456</c:v>
                </c:pt>
                <c:pt idx="4">
                  <c:v>357</c:v>
                </c:pt>
              </c:numCache>
            </c:numRef>
          </c:val>
          <c:extLst>
            <c:ext xmlns:c16="http://schemas.microsoft.com/office/drawing/2014/chart" uri="{C3380CC4-5D6E-409C-BE32-E72D297353CC}">
              <c16:uniqueId val="{00000000-3283-4BD7-AB5A-4218471B61E5}"/>
            </c:ext>
          </c:extLst>
        </c:ser>
        <c:dLbls>
          <c:showLegendKey val="0"/>
          <c:showVal val="0"/>
          <c:showCatName val="0"/>
          <c:showSerName val="0"/>
          <c:showPercent val="0"/>
          <c:showBubbleSize val="0"/>
        </c:dLbls>
        <c:gapWidth val="219"/>
        <c:overlap val="-27"/>
        <c:axId val="325622064"/>
        <c:axId val="325622392"/>
      </c:barChart>
      <c:catAx>
        <c:axId val="32562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25622392"/>
        <c:crosses val="autoZero"/>
        <c:auto val="1"/>
        <c:lblAlgn val="ctr"/>
        <c:lblOffset val="100"/>
        <c:noMultiLvlLbl val="0"/>
      </c:catAx>
      <c:valAx>
        <c:axId val="32562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25622064"/>
        <c:crosses val="autoZero"/>
        <c:crossBetween val="between"/>
      </c:valAx>
      <c:spPr>
        <a:noFill/>
        <a:ln>
          <a:noFill/>
        </a:ln>
        <a:effectLst/>
      </c:spPr>
    </c:plotArea>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3275590551181"/>
          <c:y val="2.8495445792269012E-2"/>
          <c:w val="0.86188013998250224"/>
          <c:h val="0.6701128268057402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'[Grafy - počty kusů výrobků 2024_falza_závěrečná.xlsx]List1'!$B$20:$B$32</c:f>
              <c:strCache>
                <c:ptCount val="13"/>
                <c:pt idx="0">
                  <c:v>PokémonWizards</c:v>
                </c:pt>
                <c:pt idx="1">
                  <c:v>Nike</c:v>
                </c:pt>
                <c:pt idx="2">
                  <c:v>Guess</c:v>
                </c:pt>
                <c:pt idx="3">
                  <c:v>KARL LAGERFELD</c:v>
                </c:pt>
                <c:pt idx="4">
                  <c:v>Tommy  Hilfinger</c:v>
                </c:pt>
                <c:pt idx="5">
                  <c:v>Mocler</c:v>
                </c:pt>
                <c:pt idx="6">
                  <c:v>Louis Vuitton</c:v>
                </c:pt>
                <c:pt idx="7">
                  <c:v>The North Face</c:v>
                </c:pt>
                <c:pt idx="8">
                  <c:v>Adidas</c:v>
                </c:pt>
                <c:pt idx="9">
                  <c:v>Pokémon</c:v>
                </c:pt>
                <c:pt idx="10">
                  <c:v>Chanel</c:v>
                </c:pt>
                <c:pt idx="11">
                  <c:v>Calvin Klien</c:v>
                </c:pt>
                <c:pt idx="12">
                  <c:v>Rubikova kostka</c:v>
                </c:pt>
              </c:strCache>
            </c:strRef>
          </c:cat>
          <c:val>
            <c:numRef>
              <c:f>'[Grafy - počty kusů výrobků 2024_falza_závěrečná.xlsx]List1'!$C$20:$C$32</c:f>
              <c:numCache>
                <c:formatCode>General</c:formatCode>
                <c:ptCount val="13"/>
                <c:pt idx="0">
                  <c:v>6313</c:v>
                </c:pt>
                <c:pt idx="1">
                  <c:v>4640</c:v>
                </c:pt>
                <c:pt idx="2">
                  <c:v>1429</c:v>
                </c:pt>
                <c:pt idx="3">
                  <c:v>1328</c:v>
                </c:pt>
                <c:pt idx="4">
                  <c:v>1314</c:v>
                </c:pt>
                <c:pt idx="5">
                  <c:v>922</c:v>
                </c:pt>
                <c:pt idx="6">
                  <c:v>904</c:v>
                </c:pt>
                <c:pt idx="7">
                  <c:v>899</c:v>
                </c:pt>
                <c:pt idx="8">
                  <c:v>891</c:v>
                </c:pt>
                <c:pt idx="9">
                  <c:v>815</c:v>
                </c:pt>
                <c:pt idx="10">
                  <c:v>768</c:v>
                </c:pt>
                <c:pt idx="11">
                  <c:v>668</c:v>
                </c:pt>
                <c:pt idx="12">
                  <c:v>588</c:v>
                </c:pt>
              </c:numCache>
            </c:numRef>
          </c:val>
          <c:extLst>
            <c:ext xmlns:c16="http://schemas.microsoft.com/office/drawing/2014/chart" uri="{C3380CC4-5D6E-409C-BE32-E72D297353CC}">
              <c16:uniqueId val="{00000000-6061-4392-A436-B0EDD32C8AE5}"/>
            </c:ext>
          </c:extLst>
        </c:ser>
        <c:dLbls>
          <c:showLegendKey val="0"/>
          <c:showVal val="0"/>
          <c:showCatName val="0"/>
          <c:showSerName val="0"/>
          <c:showPercent val="0"/>
          <c:showBubbleSize val="0"/>
        </c:dLbls>
        <c:gapWidth val="219"/>
        <c:overlap val="-27"/>
        <c:axId val="322250488"/>
        <c:axId val="322249832"/>
      </c:barChart>
      <c:catAx>
        <c:axId val="32225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22249832"/>
        <c:crosses val="autoZero"/>
        <c:auto val="1"/>
        <c:lblAlgn val="ctr"/>
        <c:lblOffset val="100"/>
        <c:noMultiLvlLbl val="0"/>
      </c:catAx>
      <c:valAx>
        <c:axId val="32224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322250488"/>
        <c:crosses val="autoZero"/>
        <c:crossBetween val="between"/>
      </c:valAx>
      <c:spPr>
        <a:solidFill>
          <a:srgbClr val="FFFFCC"/>
        </a:solidFill>
        <a:ln>
          <a:noFill/>
        </a:ln>
        <a:effectLst/>
      </c:spPr>
    </c:plotArea>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566</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Tichota Ondřej, Mgr., DiS.</cp:lastModifiedBy>
  <cp:revision>3</cp:revision>
  <cp:lastPrinted>2025-01-14T15:40:00Z</cp:lastPrinted>
  <dcterms:created xsi:type="dcterms:W3CDTF">2025-03-24T08:03:00Z</dcterms:created>
  <dcterms:modified xsi:type="dcterms:W3CDTF">2025-03-30T19:05:00Z</dcterms:modified>
</cp:coreProperties>
</file>