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776E9" w14:textId="77777777" w:rsidR="008B0846" w:rsidRPr="004022EF" w:rsidRDefault="008B0846" w:rsidP="008B0846">
      <w:pPr>
        <w:spacing w:before="240"/>
        <w:jc w:val="right"/>
        <w:rPr>
          <w:rFonts w:ascii="Arial" w:hAnsi="Arial" w:cs="Arial"/>
          <w:color w:val="2658A5"/>
          <w:sz w:val="48"/>
          <w:szCs w:val="48"/>
          <w:lang w:val="en-GB"/>
        </w:rPr>
      </w:pPr>
      <w:r w:rsidRPr="004022EF">
        <w:rPr>
          <w:rFonts w:ascii="Arial" w:hAnsi="Arial" w:cs="Arial"/>
          <w:color w:val="2658A5"/>
          <w:sz w:val="48"/>
          <w:szCs w:val="48"/>
          <w:lang w:val="en-GB" w:eastAsia="cs-CZ"/>
        </w:rPr>
        <w:drawing>
          <wp:anchor distT="0" distB="0" distL="114300" distR="114300" simplePos="0" relativeHeight="251659264" behindDoc="0" locked="0" layoutInCell="1" allowOverlap="1" wp14:anchorId="14E9905B" wp14:editId="5F53A004">
            <wp:simplePos x="0" y="0"/>
            <wp:positionH relativeFrom="column">
              <wp:posOffset>-156845</wp:posOffset>
            </wp:positionH>
            <wp:positionV relativeFrom="paragraph">
              <wp:posOffset>-72390</wp:posOffset>
            </wp:positionV>
            <wp:extent cx="2876550" cy="793759"/>
            <wp:effectExtent l="0" t="0" r="0" b="6350"/>
            <wp:wrapNone/>
            <wp:docPr id="1901269243" name="Obrázek 2"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69243" name="Obrázek 2" descr="Obsah obrázku text, Písmo, logo, Grafik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6550" cy="793759"/>
                    </a:xfrm>
                    <a:prstGeom prst="rect">
                      <a:avLst/>
                    </a:prstGeom>
                  </pic:spPr>
                </pic:pic>
              </a:graphicData>
            </a:graphic>
            <wp14:sizeRelH relativeFrom="page">
              <wp14:pctWidth>0</wp14:pctWidth>
            </wp14:sizeRelH>
            <wp14:sizeRelV relativeFrom="page">
              <wp14:pctHeight>0</wp14:pctHeight>
            </wp14:sizeRelV>
          </wp:anchor>
        </w:drawing>
      </w:r>
      <w:r w:rsidRPr="004022EF">
        <w:rPr>
          <w:rFonts w:ascii="Arial" w:hAnsi="Arial" w:cs="Arial"/>
          <w:color w:val="2658A5"/>
          <w:sz w:val="48"/>
          <w:szCs w:val="48"/>
          <w:lang w:val="en-GB"/>
        </w:rPr>
        <w:t>PRESS RELEASE</w:t>
      </w:r>
    </w:p>
    <w:p w14:paraId="7BDC8DE0" w14:textId="77777777" w:rsidR="003E3B85" w:rsidRPr="004022EF" w:rsidRDefault="003E3B85" w:rsidP="003E3B85">
      <w:pPr>
        <w:spacing w:before="240"/>
        <w:rPr>
          <w:rFonts w:ascii="Arial" w:hAnsi="Arial" w:cs="Arial"/>
          <w:b/>
          <w:bCs/>
          <w:color w:val="2658A5"/>
          <w:sz w:val="32"/>
          <w:szCs w:val="32"/>
          <w:lang w:val="en-GB"/>
        </w:rPr>
      </w:pPr>
    </w:p>
    <w:p w14:paraId="48992CC6" w14:textId="780BD1E4" w:rsidR="004022EF" w:rsidRPr="004022EF" w:rsidRDefault="004022EF" w:rsidP="004022EF">
      <w:pPr>
        <w:pStyle w:val="Normlnweb"/>
        <w:rPr>
          <w:rFonts w:ascii="Arial" w:eastAsiaTheme="minorHAnsi" w:hAnsi="Arial" w:cs="Arial"/>
          <w:b/>
          <w:bCs/>
          <w:color w:val="2658A5"/>
          <w:sz w:val="32"/>
          <w:szCs w:val="32"/>
          <w:lang w:val="en-GB" w:eastAsia="en-US"/>
        </w:rPr>
      </w:pPr>
      <w:r w:rsidRPr="004022EF">
        <w:rPr>
          <w:rFonts w:ascii="Arial" w:eastAsiaTheme="minorHAnsi" w:hAnsi="Arial" w:cs="Arial"/>
          <w:b/>
          <w:bCs/>
          <w:color w:val="2658A5"/>
          <w:sz w:val="32"/>
          <w:szCs w:val="32"/>
          <w:lang w:val="en-GB" w:eastAsia="en-US"/>
        </w:rPr>
        <w:t xml:space="preserve">Czech Trade Inspection Authority inspected ban on sale of alcohol and tobacco to juveniles. It found non-compliance in almost half of the </w:t>
      </w:r>
      <w:proofErr w:type="gramStart"/>
      <w:r w:rsidRPr="004022EF">
        <w:rPr>
          <w:rFonts w:ascii="Arial" w:eastAsiaTheme="minorHAnsi" w:hAnsi="Arial" w:cs="Arial"/>
          <w:b/>
          <w:bCs/>
          <w:color w:val="2658A5"/>
          <w:sz w:val="32"/>
          <w:szCs w:val="32"/>
          <w:lang w:val="en-GB" w:eastAsia="en-US"/>
        </w:rPr>
        <w:t>inspections</w:t>
      </w:r>
      <w:proofErr w:type="gramEnd"/>
    </w:p>
    <w:p w14:paraId="375787EA" w14:textId="77777777" w:rsidR="004022EF" w:rsidRPr="004022EF" w:rsidRDefault="004022EF" w:rsidP="004022EF">
      <w:pPr>
        <w:pStyle w:val="Normlnweb"/>
        <w:rPr>
          <w:rFonts w:ascii="Arial" w:hAnsi="Arial" w:cs="Arial"/>
          <w:sz w:val="20"/>
          <w:szCs w:val="20"/>
          <w:lang w:val="en-GB"/>
        </w:rPr>
      </w:pPr>
      <w:r w:rsidRPr="004022EF">
        <w:rPr>
          <w:rFonts w:ascii="Arial" w:hAnsi="Arial" w:cs="Arial"/>
          <w:i/>
          <w:iCs/>
          <w:sz w:val="20"/>
          <w:szCs w:val="20"/>
          <w:lang w:val="en-GB"/>
        </w:rPr>
        <w:t>(Final report for 2024)</w:t>
      </w:r>
    </w:p>
    <w:p w14:paraId="3405E9A2"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 xml:space="preserve">(Prague, 31 March 2025) </w:t>
      </w:r>
      <w:r w:rsidRPr="004022EF">
        <w:rPr>
          <w:rFonts w:ascii="Arial" w:hAnsi="Arial" w:cs="Arial"/>
          <w:b/>
          <w:bCs/>
          <w:sz w:val="20"/>
          <w:szCs w:val="20"/>
          <w:lang w:val="en-GB"/>
        </w:rPr>
        <w:t>During the past year, the Czech Trade Inspection Authority inspected whether traders in the Czech market complied with Act No. 65/2017 Coll., on Health Protection against the Harmful Effects of Drugs, Act No. 353/2003 Coll., on Excise Duties and Act No. 307/2013 Coll., on Mandatory Labelling of Alcohol.</w:t>
      </w:r>
      <w:r w:rsidRPr="004022EF">
        <w:rPr>
          <w:rFonts w:ascii="Arial" w:hAnsi="Arial" w:cs="Arial"/>
          <w:sz w:val="20"/>
          <w:szCs w:val="20"/>
          <w:lang w:val="en-GB"/>
        </w:rPr>
        <w:t xml:space="preserve"> </w:t>
      </w:r>
      <w:r w:rsidRPr="004022EF">
        <w:rPr>
          <w:rFonts w:ascii="Arial" w:hAnsi="Arial" w:cs="Arial"/>
          <w:b/>
          <w:bCs/>
          <w:sz w:val="20"/>
          <w:szCs w:val="20"/>
          <w:lang w:val="en-GB"/>
        </w:rPr>
        <w:t>Compliance with other legal regulations within the surveillance scope of the Czech Trade Inspection Authority was also verified during the inspections.</w:t>
      </w:r>
      <w:r w:rsidRPr="004022EF">
        <w:rPr>
          <w:rFonts w:ascii="Arial" w:hAnsi="Arial" w:cs="Arial"/>
          <w:sz w:val="20"/>
          <w:szCs w:val="20"/>
          <w:lang w:val="en-GB"/>
        </w:rPr>
        <w:t xml:space="preserve"> </w:t>
      </w:r>
      <w:r w:rsidRPr="004022EF">
        <w:rPr>
          <w:rFonts w:ascii="Arial" w:hAnsi="Arial" w:cs="Arial"/>
          <w:b/>
          <w:bCs/>
          <w:sz w:val="20"/>
          <w:szCs w:val="20"/>
          <w:lang w:val="en-GB"/>
        </w:rPr>
        <w:t>A total of 6,804 inspections were carried out and non-compliance with obligations was detected in 3,273 inspections (48.10%).</w:t>
      </w:r>
      <w:r w:rsidRPr="004022EF">
        <w:rPr>
          <w:rFonts w:ascii="Arial" w:hAnsi="Arial" w:cs="Arial"/>
          <w:sz w:val="20"/>
          <w:szCs w:val="20"/>
          <w:lang w:val="en-GB"/>
        </w:rPr>
        <w:t xml:space="preserve"> </w:t>
      </w:r>
    </w:p>
    <w:p w14:paraId="08155D14"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 xml:space="preserve">The year-round inspection action was aimed at the compliance with legal regulations governing the offer and sale of alcoholic beverages and tobacco products, smoking aids, herbal products intended for smoking, electronic </w:t>
      </w:r>
      <w:proofErr w:type="gramStart"/>
      <w:r w:rsidRPr="004022EF">
        <w:rPr>
          <w:rFonts w:ascii="Arial" w:hAnsi="Arial" w:cs="Arial"/>
          <w:sz w:val="20"/>
          <w:szCs w:val="20"/>
          <w:lang w:val="en-GB"/>
        </w:rPr>
        <w:t>cigarettes</w:t>
      </w:r>
      <w:proofErr w:type="gramEnd"/>
      <w:r w:rsidRPr="004022EF">
        <w:rPr>
          <w:rFonts w:ascii="Arial" w:hAnsi="Arial" w:cs="Arial"/>
          <w:sz w:val="20"/>
          <w:szCs w:val="20"/>
          <w:lang w:val="en-GB"/>
        </w:rPr>
        <w:t xml:space="preserve"> and nicotine sachets without tobacco content. A total of 6,804 inspections were carried out in the period from 2 January to 31 December 2024. Violations of legislation were found in 3,273 cases. This represented 48.10% of the total number of inspections.</w:t>
      </w:r>
    </w:p>
    <w:p w14:paraId="36A07FCA"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Within inspection action, persons under the age of 18 were hired for 894 investigations. The inspectorates of the CTIA also cooperated with other surveillance authorities during the inspections, 209 inspections were carried out with the participation of the Police of the Czech Republic, 157 inspections in cooperation with the staff of the trade licensing offices, 50 inspections in cooperation with the staff of the Customs Administration, 30 inspections with the participation of the staff of the regional sanitary station, 17 inspections with the participation of the Municipal Police, 7 inspections together with the staff of the Fire Rescue Service of the Czech Republic, 6 inspections in cooperation with the officers of the State Agricultural and Food Inspection Authority and 4 inspections with other surveillance bodies. Some inspections were attended by several state administration bodies at the same time.</w:t>
      </w:r>
    </w:p>
    <w:p w14:paraId="465332B6" w14:textId="77777777" w:rsidR="004022EF" w:rsidRPr="004022EF" w:rsidRDefault="004022EF" w:rsidP="004022EF">
      <w:pPr>
        <w:pStyle w:val="Normlnweb"/>
        <w:rPr>
          <w:rFonts w:ascii="Arial" w:hAnsi="Arial" w:cs="Arial"/>
          <w:sz w:val="20"/>
          <w:szCs w:val="20"/>
          <w:lang w:val="en-GB"/>
        </w:rPr>
      </w:pPr>
      <w:r w:rsidRPr="004022EF">
        <w:rPr>
          <w:rFonts w:ascii="Arial" w:hAnsi="Arial" w:cs="Arial"/>
          <w:b/>
          <w:bCs/>
          <w:sz w:val="20"/>
          <w:szCs w:val="20"/>
          <w:lang w:val="en-GB"/>
        </w:rPr>
        <w:t>Infringements of some of the provisions of Act No 65/2017 Coll., on Health Protection against the Harmful Effects of Drugs, were found in 963 cases</w:t>
      </w:r>
      <w:r w:rsidRPr="004022EF">
        <w:rPr>
          <w:rFonts w:ascii="Arial" w:hAnsi="Arial" w:cs="Arial"/>
          <w:sz w:val="20"/>
          <w:szCs w:val="20"/>
          <w:lang w:val="en-GB"/>
        </w:rPr>
        <w:t>. Of this number:</w:t>
      </w:r>
    </w:p>
    <w:p w14:paraId="00CD5127"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 xml:space="preserve">- </w:t>
      </w:r>
      <w:r w:rsidRPr="004022EF">
        <w:rPr>
          <w:rFonts w:ascii="Arial" w:hAnsi="Arial" w:cs="Arial"/>
          <w:b/>
          <w:bCs/>
          <w:sz w:val="20"/>
          <w:szCs w:val="20"/>
          <w:lang w:val="en-GB"/>
        </w:rPr>
        <w:t>429 cases of</w:t>
      </w:r>
      <w:r w:rsidRPr="004022EF">
        <w:rPr>
          <w:rFonts w:ascii="Arial" w:hAnsi="Arial" w:cs="Arial"/>
          <w:sz w:val="20"/>
          <w:szCs w:val="20"/>
          <w:lang w:val="en-GB"/>
        </w:rPr>
        <w:t xml:space="preserve"> violation of Article 11(5) - </w:t>
      </w:r>
      <w:r w:rsidRPr="004022EF">
        <w:rPr>
          <w:rFonts w:ascii="Arial" w:hAnsi="Arial" w:cs="Arial"/>
          <w:b/>
          <w:bCs/>
          <w:sz w:val="20"/>
          <w:szCs w:val="20"/>
          <w:lang w:val="en-GB"/>
        </w:rPr>
        <w:t>sellers breached the prohibition to sell or serve alcoholic beverages to a person under 18 years of age</w:t>
      </w:r>
      <w:r w:rsidRPr="004022EF">
        <w:rPr>
          <w:rFonts w:ascii="Arial" w:hAnsi="Arial" w:cs="Arial"/>
          <w:sz w:val="20"/>
          <w:szCs w:val="20"/>
          <w:lang w:val="en-GB"/>
        </w:rPr>
        <w:t xml:space="preserve"> </w:t>
      </w:r>
    </w:p>
    <w:p w14:paraId="5FAF0142"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 xml:space="preserve">- </w:t>
      </w:r>
      <w:r w:rsidRPr="004022EF">
        <w:rPr>
          <w:rFonts w:ascii="Arial" w:hAnsi="Arial" w:cs="Arial"/>
          <w:b/>
          <w:bCs/>
          <w:sz w:val="20"/>
          <w:szCs w:val="20"/>
          <w:lang w:val="en-GB"/>
        </w:rPr>
        <w:t xml:space="preserve">in 181 cases </w:t>
      </w:r>
      <w:r w:rsidRPr="004022EF">
        <w:rPr>
          <w:rFonts w:ascii="Arial" w:hAnsi="Arial" w:cs="Arial"/>
          <w:sz w:val="20"/>
          <w:szCs w:val="20"/>
          <w:lang w:val="en-GB"/>
        </w:rPr>
        <w:t xml:space="preserve">, a breach of Section 5(2) was found - </w:t>
      </w:r>
      <w:r w:rsidRPr="004022EF">
        <w:rPr>
          <w:rFonts w:ascii="Arial" w:hAnsi="Arial" w:cs="Arial"/>
          <w:b/>
          <w:bCs/>
          <w:sz w:val="20"/>
          <w:szCs w:val="20"/>
          <w:lang w:val="en-GB"/>
        </w:rPr>
        <w:t>at the point of sale of tobacco products, smoking aids, herbal products intended for smoking, electronic cigarettes and nicotine sachets without tobacco content, sellers did not display the required text clearly visible to the consumer on the prohibition of the sale of these goods to persons under 18 years of age,</w:t>
      </w:r>
      <w:r w:rsidRPr="004022EF">
        <w:rPr>
          <w:rFonts w:ascii="Arial" w:hAnsi="Arial" w:cs="Arial"/>
          <w:sz w:val="20"/>
          <w:szCs w:val="20"/>
          <w:lang w:val="en-GB"/>
        </w:rPr>
        <w:t xml:space="preserve"> or the text was not in the required form, i.e. in the Czech language, meaning, in black printed letters on a white background with the letter size of at least 2 cm </w:t>
      </w:r>
    </w:p>
    <w:p w14:paraId="57D034BE"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 xml:space="preserve">- </w:t>
      </w:r>
      <w:r w:rsidRPr="004022EF">
        <w:rPr>
          <w:rFonts w:ascii="Arial" w:hAnsi="Arial" w:cs="Arial"/>
          <w:b/>
          <w:bCs/>
          <w:sz w:val="20"/>
          <w:szCs w:val="20"/>
          <w:lang w:val="en-GB"/>
        </w:rPr>
        <w:t>in 117 cases</w:t>
      </w:r>
      <w:r w:rsidRPr="004022EF">
        <w:rPr>
          <w:rFonts w:ascii="Arial" w:hAnsi="Arial" w:cs="Arial"/>
          <w:sz w:val="20"/>
          <w:szCs w:val="20"/>
          <w:lang w:val="en-GB"/>
        </w:rPr>
        <w:t xml:space="preserve">, violations of Article 3(4) were detected - </w:t>
      </w:r>
      <w:r w:rsidRPr="004022EF">
        <w:rPr>
          <w:rFonts w:ascii="Arial" w:hAnsi="Arial" w:cs="Arial"/>
          <w:b/>
          <w:bCs/>
          <w:sz w:val="20"/>
          <w:szCs w:val="20"/>
          <w:lang w:val="en-GB"/>
        </w:rPr>
        <w:t xml:space="preserve">sellers breached the ban on selling or serving tobacco products, herbal products intended for smoking, electronic </w:t>
      </w:r>
      <w:proofErr w:type="gramStart"/>
      <w:r w:rsidRPr="004022EF">
        <w:rPr>
          <w:rFonts w:ascii="Arial" w:hAnsi="Arial" w:cs="Arial"/>
          <w:b/>
          <w:bCs/>
          <w:sz w:val="20"/>
          <w:szCs w:val="20"/>
          <w:lang w:val="en-GB"/>
        </w:rPr>
        <w:t>cigarettes</w:t>
      </w:r>
      <w:proofErr w:type="gramEnd"/>
      <w:r w:rsidRPr="004022EF">
        <w:rPr>
          <w:rFonts w:ascii="Arial" w:hAnsi="Arial" w:cs="Arial"/>
          <w:b/>
          <w:bCs/>
          <w:sz w:val="20"/>
          <w:szCs w:val="20"/>
          <w:lang w:val="en-GB"/>
        </w:rPr>
        <w:t xml:space="preserve"> and nicotine sachets without tobacco content to a person under 18 </w:t>
      </w:r>
      <w:r w:rsidRPr="004022EF">
        <w:rPr>
          <w:rFonts w:ascii="Arial" w:hAnsi="Arial" w:cs="Arial"/>
          <w:sz w:val="20"/>
          <w:szCs w:val="20"/>
          <w:lang w:val="en-GB"/>
        </w:rPr>
        <w:t xml:space="preserve">(106 cases) or </w:t>
      </w:r>
      <w:r w:rsidRPr="004022EF">
        <w:rPr>
          <w:rFonts w:ascii="Arial" w:hAnsi="Arial" w:cs="Arial"/>
          <w:b/>
          <w:bCs/>
          <w:sz w:val="20"/>
          <w:szCs w:val="20"/>
          <w:lang w:val="en-GB"/>
        </w:rPr>
        <w:t xml:space="preserve">sellers breached the ban on selling smoking aids to a person under 18 </w:t>
      </w:r>
      <w:r w:rsidRPr="004022EF">
        <w:rPr>
          <w:rFonts w:ascii="Arial" w:hAnsi="Arial" w:cs="Arial"/>
          <w:sz w:val="20"/>
          <w:szCs w:val="20"/>
          <w:lang w:val="en-GB"/>
        </w:rPr>
        <w:t xml:space="preserve">(11 cases) </w:t>
      </w:r>
    </w:p>
    <w:p w14:paraId="69843450"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lastRenderedPageBreak/>
        <w:t xml:space="preserve">- </w:t>
      </w:r>
      <w:r w:rsidRPr="004022EF">
        <w:rPr>
          <w:rFonts w:ascii="Arial" w:hAnsi="Arial" w:cs="Arial"/>
          <w:b/>
          <w:bCs/>
          <w:sz w:val="20"/>
          <w:szCs w:val="20"/>
          <w:lang w:val="en-GB"/>
        </w:rPr>
        <w:t>in 115 cases</w:t>
      </w:r>
      <w:r w:rsidRPr="004022EF">
        <w:rPr>
          <w:rFonts w:ascii="Arial" w:hAnsi="Arial" w:cs="Arial"/>
          <w:sz w:val="20"/>
          <w:szCs w:val="20"/>
          <w:lang w:val="en-GB"/>
        </w:rPr>
        <w:t xml:space="preserve">, infringements of Article 13(1) were found - </w:t>
      </w:r>
      <w:r w:rsidRPr="004022EF">
        <w:rPr>
          <w:rFonts w:ascii="Arial" w:hAnsi="Arial" w:cs="Arial"/>
          <w:b/>
          <w:bCs/>
          <w:sz w:val="20"/>
          <w:szCs w:val="20"/>
          <w:lang w:val="en-GB"/>
        </w:rPr>
        <w:t>at the point of sale of alcoholic beverages to consumers, sellers did not display the required clearly visible text regarding the prohibition of the sale of such beverages to persons under 18 years of age</w:t>
      </w:r>
      <w:r w:rsidRPr="004022EF">
        <w:rPr>
          <w:rFonts w:ascii="Arial" w:hAnsi="Arial" w:cs="Arial"/>
          <w:sz w:val="20"/>
          <w:szCs w:val="20"/>
          <w:lang w:val="en-GB"/>
        </w:rPr>
        <w:t>, or the text was not in the statutory form, i.e. in Czech language, in black letters on a white background with a letter size of at least 2 cm</w:t>
      </w:r>
    </w:p>
    <w:p w14:paraId="0FD7D25B"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 xml:space="preserve">- </w:t>
      </w:r>
      <w:r w:rsidRPr="004022EF">
        <w:rPr>
          <w:rFonts w:ascii="Arial" w:hAnsi="Arial" w:cs="Arial"/>
          <w:b/>
          <w:bCs/>
          <w:sz w:val="20"/>
          <w:szCs w:val="20"/>
          <w:lang w:val="en-GB"/>
        </w:rPr>
        <w:t>in 50 cases</w:t>
      </w:r>
      <w:r w:rsidRPr="004022EF">
        <w:rPr>
          <w:rFonts w:ascii="Arial" w:hAnsi="Arial" w:cs="Arial"/>
          <w:sz w:val="20"/>
          <w:szCs w:val="20"/>
          <w:lang w:val="en-GB"/>
        </w:rPr>
        <w:t xml:space="preserve">, infringements of Article 5(1) were found - </w:t>
      </w:r>
      <w:r w:rsidRPr="004022EF">
        <w:rPr>
          <w:rFonts w:ascii="Arial" w:hAnsi="Arial" w:cs="Arial"/>
          <w:b/>
          <w:bCs/>
          <w:sz w:val="20"/>
          <w:szCs w:val="20"/>
          <w:lang w:val="en-GB"/>
        </w:rPr>
        <w:t xml:space="preserve">sellers did not offer tobacco products, smoking aids, herbal products intended for smoking, electronic </w:t>
      </w:r>
      <w:proofErr w:type="gramStart"/>
      <w:r w:rsidRPr="004022EF">
        <w:rPr>
          <w:rFonts w:ascii="Arial" w:hAnsi="Arial" w:cs="Arial"/>
          <w:b/>
          <w:bCs/>
          <w:sz w:val="20"/>
          <w:szCs w:val="20"/>
          <w:lang w:val="en-GB"/>
        </w:rPr>
        <w:t>cigarettes</w:t>
      </w:r>
      <w:proofErr w:type="gramEnd"/>
      <w:r w:rsidRPr="004022EF">
        <w:rPr>
          <w:rFonts w:ascii="Arial" w:hAnsi="Arial" w:cs="Arial"/>
          <w:b/>
          <w:bCs/>
          <w:sz w:val="20"/>
          <w:szCs w:val="20"/>
          <w:lang w:val="en-GB"/>
        </w:rPr>
        <w:t xml:space="preserve"> and nicotine sachets without tobacco content in a separate place from the other products on offer</w:t>
      </w:r>
    </w:p>
    <w:p w14:paraId="65ADB91C"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 xml:space="preserve">- </w:t>
      </w:r>
      <w:r w:rsidRPr="004022EF">
        <w:rPr>
          <w:rFonts w:ascii="Arial" w:hAnsi="Arial" w:cs="Arial"/>
          <w:b/>
          <w:bCs/>
          <w:sz w:val="20"/>
          <w:szCs w:val="20"/>
          <w:lang w:val="en-GB"/>
        </w:rPr>
        <w:t>in 20 cases</w:t>
      </w:r>
      <w:r w:rsidRPr="004022EF">
        <w:rPr>
          <w:rFonts w:ascii="Arial" w:hAnsi="Arial" w:cs="Arial"/>
          <w:sz w:val="20"/>
          <w:szCs w:val="20"/>
          <w:lang w:val="en-GB"/>
        </w:rPr>
        <w:t xml:space="preserve">, infringements of Article 6(1) were found - </w:t>
      </w:r>
      <w:r w:rsidRPr="004022EF">
        <w:rPr>
          <w:rFonts w:ascii="Arial" w:hAnsi="Arial" w:cs="Arial"/>
          <w:b/>
          <w:bCs/>
          <w:sz w:val="20"/>
          <w:szCs w:val="20"/>
          <w:lang w:val="en-GB"/>
        </w:rPr>
        <w:t>sellers of</w:t>
      </w:r>
      <w:r w:rsidRPr="004022EF">
        <w:rPr>
          <w:rFonts w:ascii="Arial" w:hAnsi="Arial" w:cs="Arial"/>
          <w:sz w:val="20"/>
          <w:szCs w:val="20"/>
          <w:lang w:val="en-GB"/>
        </w:rPr>
        <w:t xml:space="preserve"> tobacco products, smoking aids, herbal smoking products, electronic cigarettes and tobacco-free nicotine sachets </w:t>
      </w:r>
      <w:r w:rsidRPr="004022EF">
        <w:rPr>
          <w:rFonts w:ascii="Arial" w:hAnsi="Arial" w:cs="Arial"/>
          <w:b/>
          <w:bCs/>
          <w:sz w:val="20"/>
          <w:szCs w:val="20"/>
          <w:lang w:val="en-GB"/>
        </w:rPr>
        <w:t>sold these products via a means of distance communication without ruling out their sale to persons under 18 years of age; or sellers of these products were not equipped with an IT software that would electronically and unambiguously verify the age of the consumer</w:t>
      </w:r>
    </w:p>
    <w:p w14:paraId="54A34F06"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 xml:space="preserve">- </w:t>
      </w:r>
      <w:r w:rsidRPr="004022EF">
        <w:rPr>
          <w:rFonts w:ascii="Arial" w:hAnsi="Arial" w:cs="Arial"/>
          <w:b/>
          <w:bCs/>
          <w:sz w:val="20"/>
          <w:szCs w:val="20"/>
          <w:lang w:val="en-GB"/>
        </w:rPr>
        <w:t>13 cases</w:t>
      </w:r>
      <w:r w:rsidRPr="004022EF">
        <w:rPr>
          <w:rFonts w:ascii="Arial" w:hAnsi="Arial" w:cs="Arial"/>
          <w:sz w:val="20"/>
          <w:szCs w:val="20"/>
          <w:lang w:val="en-GB"/>
        </w:rPr>
        <w:t xml:space="preserve"> related to breaches of Article 13(2) </w:t>
      </w:r>
      <w:r w:rsidRPr="004022EF">
        <w:rPr>
          <w:rFonts w:ascii="Arial" w:hAnsi="Arial" w:cs="Arial"/>
          <w:b/>
          <w:bCs/>
          <w:sz w:val="20"/>
          <w:szCs w:val="20"/>
          <w:lang w:val="en-GB"/>
        </w:rPr>
        <w:t>- persons selling or serving alcoholic beverages did not meet the obligatory minimum age of 18 years</w:t>
      </w:r>
    </w:p>
    <w:p w14:paraId="181B6995"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 xml:space="preserve">- </w:t>
      </w:r>
      <w:r w:rsidRPr="004022EF">
        <w:rPr>
          <w:rFonts w:ascii="Arial" w:hAnsi="Arial" w:cs="Arial"/>
          <w:b/>
          <w:bCs/>
          <w:sz w:val="20"/>
          <w:szCs w:val="20"/>
          <w:lang w:val="en-GB"/>
        </w:rPr>
        <w:t>11 cases of</w:t>
      </w:r>
      <w:r w:rsidRPr="004022EF">
        <w:rPr>
          <w:rFonts w:ascii="Arial" w:hAnsi="Arial" w:cs="Arial"/>
          <w:sz w:val="20"/>
          <w:szCs w:val="20"/>
          <w:lang w:val="en-GB"/>
        </w:rPr>
        <w:t xml:space="preserve"> breaches of Article 6(2) - </w:t>
      </w:r>
      <w:r w:rsidRPr="004022EF">
        <w:rPr>
          <w:rFonts w:ascii="Arial" w:hAnsi="Arial" w:cs="Arial"/>
          <w:b/>
          <w:bCs/>
          <w:sz w:val="20"/>
          <w:szCs w:val="20"/>
          <w:lang w:val="en-GB"/>
        </w:rPr>
        <w:t>sellers of</w:t>
      </w:r>
      <w:r w:rsidRPr="004022EF">
        <w:rPr>
          <w:rFonts w:ascii="Arial" w:hAnsi="Arial" w:cs="Arial"/>
          <w:sz w:val="20"/>
          <w:szCs w:val="20"/>
          <w:lang w:val="en-GB"/>
        </w:rPr>
        <w:t xml:space="preserve"> tobacco products, smoking aids, herbal smoking products, electronic cigarettes and nicotine sachets without tobacco content </w:t>
      </w:r>
      <w:r w:rsidRPr="004022EF">
        <w:rPr>
          <w:rFonts w:ascii="Arial" w:hAnsi="Arial" w:cs="Arial"/>
          <w:b/>
          <w:bCs/>
          <w:sz w:val="20"/>
          <w:szCs w:val="20"/>
          <w:lang w:val="en-GB"/>
        </w:rPr>
        <w:t>did not inform about the prohibition of sales to persons under 18 years of age of via the means of distance communication.</w:t>
      </w:r>
    </w:p>
    <w:p w14:paraId="6EAE28C8"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 xml:space="preserve">Other breaches of the Act on Health Protection against the Harmful Effects of Drugs were found in a several cases only. </w:t>
      </w:r>
    </w:p>
    <w:p w14:paraId="2A5F6E94" w14:textId="77777777" w:rsidR="004022EF" w:rsidRPr="004022EF" w:rsidRDefault="004022EF" w:rsidP="004022EF">
      <w:pPr>
        <w:pStyle w:val="Normlnweb"/>
        <w:rPr>
          <w:rFonts w:ascii="Arial" w:hAnsi="Arial" w:cs="Arial"/>
          <w:sz w:val="20"/>
          <w:szCs w:val="20"/>
          <w:lang w:val="en-GB"/>
        </w:rPr>
      </w:pPr>
      <w:r w:rsidRPr="004022EF">
        <w:rPr>
          <w:rFonts w:ascii="Arial" w:hAnsi="Arial" w:cs="Arial"/>
          <w:b/>
          <w:bCs/>
          <w:sz w:val="20"/>
          <w:szCs w:val="20"/>
          <w:lang w:val="en-GB"/>
        </w:rPr>
        <w:t>Infringements of any of the provisions of Act No 353/2003 Coll., on Excise Duties, were detected in 12 cases</w:t>
      </w:r>
      <w:r w:rsidRPr="004022EF">
        <w:rPr>
          <w:rFonts w:ascii="Arial" w:hAnsi="Arial" w:cs="Arial"/>
          <w:sz w:val="20"/>
          <w:szCs w:val="20"/>
          <w:lang w:val="en-GB"/>
        </w:rPr>
        <w:t>:</w:t>
      </w:r>
    </w:p>
    <w:p w14:paraId="2A21E93A"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 xml:space="preserve">- </w:t>
      </w:r>
      <w:r w:rsidRPr="004022EF">
        <w:rPr>
          <w:rFonts w:ascii="Arial" w:hAnsi="Arial" w:cs="Arial"/>
          <w:b/>
          <w:bCs/>
          <w:sz w:val="20"/>
          <w:szCs w:val="20"/>
          <w:lang w:val="en-GB"/>
        </w:rPr>
        <w:t>6 cases</w:t>
      </w:r>
      <w:r w:rsidRPr="004022EF">
        <w:rPr>
          <w:rFonts w:ascii="Arial" w:hAnsi="Arial" w:cs="Arial"/>
          <w:sz w:val="20"/>
          <w:szCs w:val="20"/>
          <w:lang w:val="en-GB"/>
        </w:rPr>
        <w:t xml:space="preserve"> related to breaches of the provisions of Article 107(6) on </w:t>
      </w:r>
      <w:r w:rsidRPr="004022EF">
        <w:rPr>
          <w:rFonts w:ascii="Arial" w:hAnsi="Arial" w:cs="Arial"/>
          <w:b/>
          <w:bCs/>
          <w:sz w:val="20"/>
          <w:szCs w:val="20"/>
          <w:lang w:val="en-GB"/>
        </w:rPr>
        <w:t>the obligation to sell tobacco products in sealed unit packs</w:t>
      </w:r>
    </w:p>
    <w:p w14:paraId="71FD1828"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 xml:space="preserve">- </w:t>
      </w:r>
      <w:r w:rsidRPr="004022EF">
        <w:rPr>
          <w:rFonts w:ascii="Arial" w:hAnsi="Arial" w:cs="Arial"/>
          <w:b/>
          <w:bCs/>
          <w:sz w:val="20"/>
          <w:szCs w:val="20"/>
          <w:lang w:val="en-GB"/>
        </w:rPr>
        <w:t>in 3 cases</w:t>
      </w:r>
      <w:r w:rsidRPr="004022EF">
        <w:rPr>
          <w:rFonts w:ascii="Arial" w:hAnsi="Arial" w:cs="Arial"/>
          <w:sz w:val="20"/>
          <w:szCs w:val="20"/>
          <w:lang w:val="en-GB"/>
        </w:rPr>
        <w:t xml:space="preserve"> the sale of cigarettes to the final consumer at a price higher than the price indicated on the tobacco sticker was detected, thus violating the provisions of Section 112</w:t>
      </w:r>
    </w:p>
    <w:p w14:paraId="15949851"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 xml:space="preserve">- </w:t>
      </w:r>
      <w:r w:rsidRPr="004022EF">
        <w:rPr>
          <w:rFonts w:ascii="Arial" w:hAnsi="Arial" w:cs="Arial"/>
          <w:b/>
          <w:bCs/>
          <w:sz w:val="20"/>
          <w:szCs w:val="20"/>
          <w:lang w:val="en-GB"/>
        </w:rPr>
        <w:t>in 2 cases</w:t>
      </w:r>
      <w:r w:rsidRPr="004022EF">
        <w:rPr>
          <w:rFonts w:ascii="Arial" w:hAnsi="Arial" w:cs="Arial"/>
          <w:sz w:val="20"/>
          <w:szCs w:val="20"/>
          <w:lang w:val="en-GB"/>
        </w:rPr>
        <w:t xml:space="preserve"> the sale of cigarettes to the final consumer at a price lower than the price indicated on the tobacco sticker was detected, thereby infringing the provisions of Article 110(1) </w:t>
      </w:r>
    </w:p>
    <w:p w14:paraId="00A4108E"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 xml:space="preserve">- </w:t>
      </w:r>
      <w:r w:rsidRPr="004022EF">
        <w:rPr>
          <w:rFonts w:ascii="Arial" w:hAnsi="Arial" w:cs="Arial"/>
          <w:b/>
          <w:bCs/>
          <w:sz w:val="20"/>
          <w:szCs w:val="20"/>
          <w:lang w:val="en-GB"/>
        </w:rPr>
        <w:t xml:space="preserve">in 1 case, </w:t>
      </w:r>
      <w:r w:rsidRPr="004022EF">
        <w:rPr>
          <w:rFonts w:ascii="Arial" w:hAnsi="Arial" w:cs="Arial"/>
          <w:sz w:val="20"/>
          <w:szCs w:val="20"/>
          <w:lang w:val="en-GB"/>
        </w:rPr>
        <w:t>the seller infringed the prohibition on linking the sale of cigarettes to the sale of other items, thereby infringing Article 110(3)</w:t>
      </w:r>
      <w:r w:rsidRPr="004022EF">
        <w:rPr>
          <w:rFonts w:ascii="Arial" w:hAnsi="Arial" w:cs="Arial"/>
          <w:b/>
          <w:bCs/>
          <w:sz w:val="20"/>
          <w:szCs w:val="20"/>
          <w:lang w:val="en-GB"/>
        </w:rPr>
        <w:t>.</w:t>
      </w:r>
    </w:p>
    <w:p w14:paraId="311BC2BF"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Violations of Act No 307/2013 Coll. on Mandatory Marking and Labelling of Alcohol were not detected in the monitored period.</w:t>
      </w:r>
    </w:p>
    <w:p w14:paraId="110AE4D8" w14:textId="77777777" w:rsidR="004022EF" w:rsidRPr="004022EF" w:rsidRDefault="004022EF" w:rsidP="004022EF">
      <w:pPr>
        <w:pStyle w:val="Normlnweb"/>
        <w:rPr>
          <w:rFonts w:ascii="Arial" w:hAnsi="Arial" w:cs="Arial"/>
          <w:sz w:val="20"/>
          <w:szCs w:val="20"/>
          <w:lang w:val="en-GB"/>
        </w:rPr>
      </w:pPr>
      <w:r w:rsidRPr="004022EF">
        <w:rPr>
          <w:rFonts w:ascii="Arial" w:hAnsi="Arial" w:cs="Arial"/>
          <w:b/>
          <w:bCs/>
          <w:sz w:val="20"/>
          <w:szCs w:val="20"/>
          <w:lang w:val="en-GB"/>
        </w:rPr>
        <w:t>Infringements of Act No 634/1992 Coll., on Consumer Protection, were found in 3,217 cases</w:t>
      </w:r>
      <w:r w:rsidRPr="004022EF">
        <w:rPr>
          <w:rFonts w:ascii="Arial" w:hAnsi="Arial" w:cs="Arial"/>
          <w:sz w:val="20"/>
          <w:szCs w:val="20"/>
          <w:lang w:val="en-GB"/>
        </w:rPr>
        <w:t>. The most frequent, in a total of 1,098 cases, were the failures to inform the consumer of the price of products and services offered in compliance with the provisions of Section 12, breaches of the principles of fairness of sale under Section 3 were detected in 997 cases, and the failure to issue a receipt for the purchase of products, even though the consumer requested it or the issue of a receipt without the necessary particulars, in compliance with the provisions of Section 16, was detected in 540 cases.</w:t>
      </w:r>
    </w:p>
    <w:p w14:paraId="69F9EE12"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Infringements of other legal regulations governing the offer and sale of products and the provision of services were found in 733 cases. Breaches of more than one legal regulation, or individual provisions thereof, can be found simultaneously in an individual inspection.</w:t>
      </w:r>
    </w:p>
    <w:p w14:paraId="342F288E"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lastRenderedPageBreak/>
        <w:t>Based on the detected infringements of legal regulations within the surveillance scope of the Czech Trade Inspection Authority,</w:t>
      </w:r>
      <w:r w:rsidRPr="004022EF">
        <w:rPr>
          <w:rFonts w:ascii="Arial" w:hAnsi="Arial" w:cs="Arial"/>
          <w:b/>
          <w:bCs/>
          <w:sz w:val="20"/>
          <w:szCs w:val="20"/>
          <w:lang w:val="en-GB"/>
        </w:rPr>
        <w:t xml:space="preserve"> 2,809 fines with a total value of CZK 26,676,500 came into force in the period from 1 January 2024 to 31 December 2024</w:t>
      </w:r>
      <w:r w:rsidRPr="004022EF">
        <w:rPr>
          <w:rFonts w:ascii="Arial" w:hAnsi="Arial" w:cs="Arial"/>
          <w:sz w:val="20"/>
          <w:szCs w:val="20"/>
          <w:lang w:val="en-GB"/>
        </w:rPr>
        <w:t>.</w:t>
      </w:r>
    </w:p>
    <w:p w14:paraId="1033A30F" w14:textId="77777777" w:rsidR="004022EF" w:rsidRPr="004022EF" w:rsidRDefault="004022EF" w:rsidP="004022EF">
      <w:pPr>
        <w:pStyle w:val="Normlnweb"/>
        <w:rPr>
          <w:rFonts w:ascii="Arial" w:hAnsi="Arial" w:cs="Arial"/>
          <w:sz w:val="20"/>
          <w:szCs w:val="20"/>
          <w:lang w:val="en-GB"/>
        </w:rPr>
      </w:pPr>
      <w:r w:rsidRPr="004022EF">
        <w:rPr>
          <w:rFonts w:ascii="Arial" w:hAnsi="Arial" w:cs="Arial"/>
          <w:sz w:val="20"/>
          <w:szCs w:val="20"/>
          <w:lang w:val="en-GB"/>
        </w:rPr>
        <w:t xml:space="preserve">The results of the inspections have confirmed the justification of the inspection action. Deficiencies were found in almost half of them. </w:t>
      </w:r>
      <w:r w:rsidRPr="004022EF">
        <w:rPr>
          <w:rFonts w:ascii="Arial" w:hAnsi="Arial" w:cs="Arial"/>
          <w:b/>
          <w:bCs/>
          <w:sz w:val="20"/>
          <w:szCs w:val="20"/>
          <w:lang w:val="en-GB"/>
        </w:rPr>
        <w:t xml:space="preserve">The most serious finding was the sale or serving of alcoholic beverages to persons under 18 years of age, which </w:t>
      </w:r>
      <w:r w:rsidRPr="004022EF">
        <w:rPr>
          <w:rFonts w:ascii="Arial" w:hAnsi="Arial" w:cs="Arial"/>
          <w:sz w:val="20"/>
          <w:szCs w:val="20"/>
          <w:lang w:val="en-GB"/>
        </w:rPr>
        <w:t xml:space="preserve">was detected in 429 cases in the period under review, representing 6.31% of the total number of 6,804 inspections carried out. </w:t>
      </w:r>
      <w:r w:rsidRPr="004022EF">
        <w:rPr>
          <w:rFonts w:ascii="Arial" w:hAnsi="Arial" w:cs="Arial"/>
          <w:b/>
          <w:bCs/>
          <w:sz w:val="20"/>
          <w:szCs w:val="20"/>
          <w:lang w:val="en-GB"/>
        </w:rPr>
        <w:t>Compared to 2023, this has been an increase of 172 cases</w:t>
      </w:r>
      <w:r w:rsidRPr="004022EF">
        <w:rPr>
          <w:rFonts w:ascii="Arial" w:hAnsi="Arial" w:cs="Arial"/>
          <w:sz w:val="20"/>
          <w:szCs w:val="20"/>
          <w:lang w:val="en-GB"/>
        </w:rPr>
        <w:t>, i.e. 2.49% of the total number of checks. The Czech Trade Inspection Authority will keep intensively pursuing its inspection activities in this area.</w:t>
      </w:r>
    </w:p>
    <w:sectPr w:rsidR="004022EF" w:rsidRPr="004022EF" w:rsidSect="00663C7B">
      <w:headerReference w:type="default" r:id="rId9"/>
      <w:footerReference w:type="default" r:id="rId10"/>
      <w:pgSz w:w="11906" w:h="16838"/>
      <w:pgMar w:top="1134" w:right="1417" w:bottom="1701"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B8D25" w14:textId="77777777" w:rsidR="00CD3C8E" w:rsidRDefault="00CD3C8E" w:rsidP="00807D68">
      <w:pPr>
        <w:spacing w:after="0" w:line="240" w:lineRule="auto"/>
      </w:pPr>
      <w:r>
        <w:separator/>
      </w:r>
    </w:p>
  </w:endnote>
  <w:endnote w:type="continuationSeparator" w:id="0">
    <w:p w14:paraId="01A3DF85" w14:textId="77777777" w:rsidR="00CD3C8E" w:rsidRDefault="00CD3C8E" w:rsidP="0080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7FA6" w14:textId="3A1BD01E" w:rsidR="00F34A6A" w:rsidRPr="000B3C18" w:rsidRDefault="00663C7B" w:rsidP="00663C7B">
    <w:pPr>
      <w:spacing w:line="276" w:lineRule="auto"/>
      <w:ind w:left="5664" w:firstLine="708"/>
      <w:rPr>
        <w:rFonts w:ascii="Arial" w:hAnsi="Arial" w:cs="Arial"/>
        <w:bCs/>
        <w:color w:val="2658A5"/>
        <w:sz w:val="18"/>
        <w:szCs w:val="18"/>
      </w:rPr>
    </w:pPr>
    <w:r w:rsidRPr="000B3C18">
      <w:rPr>
        <w:rFonts w:ascii="Arial" w:hAnsi="Arial" w:cs="Arial"/>
        <w:noProof/>
        <w:color w:val="2658A5"/>
        <w:sz w:val="18"/>
        <w:szCs w:val="18"/>
        <w:lang w:eastAsia="cs-CZ"/>
      </w:rPr>
      <mc:AlternateContent>
        <mc:Choice Requires="wps">
          <w:drawing>
            <wp:anchor distT="0" distB="0" distL="114300" distR="114300" simplePos="0" relativeHeight="251658240" behindDoc="1" locked="0" layoutInCell="1" allowOverlap="1" wp14:anchorId="726B7EA6" wp14:editId="32D08E0D">
              <wp:simplePos x="0" y="0"/>
              <wp:positionH relativeFrom="column">
                <wp:posOffset>3472180</wp:posOffset>
              </wp:positionH>
              <wp:positionV relativeFrom="paragraph">
                <wp:posOffset>10160</wp:posOffset>
              </wp:positionV>
              <wp:extent cx="2361564" cy="653414"/>
              <wp:effectExtent l="0" t="0" r="127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4" cy="653414"/>
                      </a:xfrm>
                      <a:prstGeom prst="rect">
                        <a:avLst/>
                      </a:prstGeom>
                      <a:solidFill>
                        <a:srgbClr val="FFFFFF"/>
                      </a:solidFill>
                      <a:ln w="9525">
                        <a:noFill/>
                        <a:miter lim="800000"/>
                        <a:headEnd/>
                        <a:tailEnd/>
                      </a:ln>
                    </wps:spPr>
                    <wps:txbx>
                      <w:txbxContent>
                        <w:p w14:paraId="471F7FE2" w14:textId="6D9DD232" w:rsidR="00663C7B" w:rsidRPr="0090767D" w:rsidRDefault="00663C7B" w:rsidP="00663C7B">
                          <w:pPr>
                            <w:jc w:val="right"/>
                            <w:rPr>
                              <w:rFonts w:ascii="Arial" w:hAnsi="Arial" w:cs="Arial"/>
                              <w:sz w:val="18"/>
                              <w:szCs w:val="18"/>
                            </w:rPr>
                          </w:pPr>
                          <w:r w:rsidRPr="0090767D">
                            <w:rPr>
                              <w:rFonts w:ascii="Arial" w:hAnsi="Arial" w:cs="Arial"/>
                              <w:bCs/>
                              <w:color w:val="2658A5"/>
                              <w:sz w:val="18"/>
                              <w:szCs w:val="18"/>
                            </w:rPr>
                            <w:t>Telefon: +420 296 366 233</w:t>
                          </w:r>
                          <w:r w:rsidRPr="0090767D">
                            <w:rPr>
                              <w:rFonts w:ascii="Arial" w:hAnsi="Arial" w:cs="Arial"/>
                              <w:bCs/>
                              <w:color w:val="2658A5"/>
                              <w:sz w:val="18"/>
                              <w:szCs w:val="18"/>
                            </w:rPr>
                            <w:br/>
                            <w:t>Mobil: +420 731 553 732</w:t>
                          </w:r>
                          <w:r w:rsidRPr="0090767D">
                            <w:rPr>
                              <w:rFonts w:ascii="Arial" w:hAnsi="Arial" w:cs="Arial"/>
                              <w:bCs/>
                              <w:color w:val="2658A5"/>
                              <w:sz w:val="18"/>
                              <w:szCs w:val="18"/>
                            </w:rPr>
                            <w:br/>
                            <w:t>E-mail:</w:t>
                          </w:r>
                          <w:r w:rsidR="005A3A49" w:rsidRPr="0090767D">
                            <w:rPr>
                              <w:rFonts w:ascii="Arial" w:hAnsi="Arial" w:cs="Arial"/>
                              <w:bCs/>
                              <w:color w:val="2658A5"/>
                              <w:sz w:val="18"/>
                              <w:szCs w:val="18"/>
                            </w:rPr>
                            <w:t xml:space="preserve"> </w:t>
                          </w:r>
                          <w:r w:rsidRPr="0090767D">
                            <w:rPr>
                              <w:rFonts w:ascii="Arial" w:hAnsi="Arial" w:cs="Arial"/>
                              <w:bCs/>
                              <w:color w:val="2658A5"/>
                              <w:sz w:val="18"/>
                              <w:szCs w:val="18"/>
                            </w:rPr>
                            <w:t>mluvci</w:t>
                          </w:r>
                          <w:r w:rsidRPr="0090767D">
                            <w:rPr>
                              <w:rFonts w:ascii="Arial" w:hAnsi="Arial" w:cs="Arial"/>
                              <w:bCs/>
                              <w:color w:val="2658A5"/>
                              <w:sz w:val="18"/>
                              <w:szCs w:val="18"/>
                              <w:lang w:val="de-AT"/>
                            </w:rPr>
                            <w:t>@coi.</w:t>
                          </w:r>
                          <w:r w:rsidR="005A3A49" w:rsidRPr="0090767D">
                            <w:rPr>
                              <w:rFonts w:ascii="Arial" w:hAnsi="Arial" w:cs="Arial"/>
                              <w:bCs/>
                              <w:color w:val="2658A5"/>
                              <w:sz w:val="18"/>
                              <w:szCs w:val="18"/>
                              <w:lang w:val="de-AT"/>
                            </w:rPr>
                            <w:t>gov.</w:t>
                          </w:r>
                          <w:r w:rsidRPr="0090767D">
                            <w:rPr>
                              <w:rFonts w:ascii="Arial" w:hAnsi="Arial" w:cs="Arial"/>
                              <w:bCs/>
                              <w:color w:val="2658A5"/>
                              <w:sz w:val="18"/>
                              <w:szCs w:val="18"/>
                              <w:lang w:val="de-AT"/>
                            </w:rPr>
                            <w:t>cz</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726B7EA6" id="_x0000_t202" coordsize="21600,21600" o:spt="202" path="m,l,21600r21600,l21600,xe">
              <v:stroke joinstyle="miter"/>
              <v:path gradientshapeok="t" o:connecttype="rect"/>
            </v:shapetype>
            <v:shape id="Textové pole 2" o:spid="_x0000_s1026" type="#_x0000_t202" style="position:absolute;left:0;text-align:left;margin-left:273.4pt;margin-top:.8pt;width:185.95pt;height:5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" stroked="f">
              <v:textbox style="mso-fit-shape-to-text:t">
                <w:txbxContent>
                  <w:p w14:paraId="471F7FE2" w14:textId="6D9DD232" w:rsidR="00663C7B" w:rsidRPr="0090767D" w:rsidRDefault="00663C7B" w:rsidP="00663C7B">
                    <w:pPr>
                      <w:jc w:val="right"/>
                      <w:rPr>
                        <w:rFonts w:ascii="Arial" w:hAnsi="Arial" w:cs="Arial"/>
                        <w:sz w:val="18"/>
                        <w:szCs w:val="18"/>
                      </w:rPr>
                    </w:pPr>
                    <w:r w:rsidRPr="0090767D">
                      <w:rPr>
                        <w:rFonts w:ascii="Arial" w:hAnsi="Arial" w:cs="Arial"/>
                        <w:bCs/>
                        <w:color w:val="2658A5"/>
                        <w:sz w:val="18"/>
                        <w:szCs w:val="18"/>
                      </w:rPr>
                      <w:t>Telefon: +420 296 366 233</w:t>
                    </w:r>
                    <w:r w:rsidRPr="0090767D">
                      <w:rPr>
                        <w:rFonts w:ascii="Arial" w:hAnsi="Arial" w:cs="Arial"/>
                        <w:bCs/>
                        <w:color w:val="2658A5"/>
                        <w:sz w:val="18"/>
                        <w:szCs w:val="18"/>
                      </w:rPr>
                      <w:br/>
                      <w:t>Mobil: +420 731 553 732</w:t>
                    </w:r>
                    <w:r w:rsidRPr="0090767D">
                      <w:rPr>
                        <w:rFonts w:ascii="Arial" w:hAnsi="Arial" w:cs="Arial"/>
                        <w:bCs/>
                        <w:color w:val="2658A5"/>
                        <w:sz w:val="18"/>
                        <w:szCs w:val="18"/>
                      </w:rPr>
                      <w:br/>
                      <w:t>E-mail:</w:t>
                    </w:r>
                    <w:r w:rsidR="005A3A49" w:rsidRPr="0090767D">
                      <w:rPr>
                        <w:rFonts w:ascii="Arial" w:hAnsi="Arial" w:cs="Arial"/>
                        <w:bCs/>
                        <w:color w:val="2658A5"/>
                        <w:sz w:val="18"/>
                        <w:szCs w:val="18"/>
                      </w:rPr>
                      <w:t xml:space="preserve"> </w:t>
                    </w:r>
                    <w:r w:rsidRPr="0090767D">
                      <w:rPr>
                        <w:rFonts w:ascii="Arial" w:hAnsi="Arial" w:cs="Arial"/>
                        <w:bCs/>
                        <w:color w:val="2658A5"/>
                        <w:sz w:val="18"/>
                        <w:szCs w:val="18"/>
                      </w:rPr>
                      <w:t>mluvci</w:t>
                    </w:r>
                    <w:r w:rsidRPr="0090767D">
                      <w:rPr>
                        <w:rFonts w:ascii="Arial" w:hAnsi="Arial" w:cs="Arial"/>
                        <w:bCs/>
                        <w:color w:val="2658A5"/>
                        <w:sz w:val="18"/>
                        <w:szCs w:val="18"/>
                        <w:lang w:val="de-AT"/>
                      </w:rPr>
                      <w:t>@coi.</w:t>
                    </w:r>
                    <w:r w:rsidR="005A3A49" w:rsidRPr="0090767D">
                      <w:rPr>
                        <w:rFonts w:ascii="Arial" w:hAnsi="Arial" w:cs="Arial"/>
                        <w:bCs/>
                        <w:color w:val="2658A5"/>
                        <w:sz w:val="18"/>
                        <w:szCs w:val="18"/>
                        <w:lang w:val="de-AT"/>
                      </w:rPr>
                      <w:t>gov.</w:t>
                    </w:r>
                    <w:r w:rsidRPr="0090767D">
                      <w:rPr>
                        <w:rFonts w:ascii="Arial" w:hAnsi="Arial" w:cs="Arial"/>
                        <w:bCs/>
                        <w:color w:val="2658A5"/>
                        <w:sz w:val="18"/>
                        <w:szCs w:val="18"/>
                        <w:lang w:val="de-AT"/>
                      </w:rPr>
                      <w:t>cz</w:t>
                    </w:r>
                  </w:p>
                </w:txbxContent>
              </v:textbox>
            </v:shape>
          </w:pict>
        </mc:Fallback>
      </mc:AlternateContent>
    </w:r>
    <w:r w:rsidRPr="000B3C18">
      <w:rPr>
        <w:rFonts w:ascii="Arial" w:hAnsi="Arial" w:cs="Arial"/>
        <w:noProof/>
        <w:color w:val="2658A5"/>
        <w:sz w:val="18"/>
        <w:szCs w:val="18"/>
        <w:lang w:eastAsia="cs-CZ"/>
      </w:rPr>
      <mc:AlternateContent>
        <mc:Choice Requires="wps">
          <w:drawing>
            <wp:anchor distT="0" distB="0" distL="114300" distR="114300" simplePos="0" relativeHeight="251660288" behindDoc="1" locked="0" layoutInCell="1" allowOverlap="1" wp14:anchorId="4341E66F" wp14:editId="160B7286">
              <wp:simplePos x="0" y="0"/>
              <wp:positionH relativeFrom="column">
                <wp:posOffset>-109220</wp:posOffset>
              </wp:positionH>
              <wp:positionV relativeFrom="paragraph">
                <wp:posOffset>7620</wp:posOffset>
              </wp:positionV>
              <wp:extent cx="2085975" cy="1404620"/>
              <wp:effectExtent l="0" t="0" r="9525"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04620"/>
                      </a:xfrm>
                      <a:prstGeom prst="rect">
                        <a:avLst/>
                      </a:prstGeom>
                      <a:solidFill>
                        <a:srgbClr val="FFFFFF"/>
                      </a:solidFill>
                      <a:ln w="9525">
                        <a:noFill/>
                        <a:miter lim="800000"/>
                        <a:headEnd/>
                        <a:tailEnd/>
                      </a:ln>
                    </wps:spPr>
                    <wps:txbx>
                      <w:txbxContent>
                        <w:p w14:paraId="062011B3" w14:textId="70881CB0" w:rsidR="00663C7B" w:rsidRPr="0090767D" w:rsidRDefault="00663C7B" w:rsidP="00663C7B">
                          <w:pPr>
                            <w:rPr>
                              <w:rFonts w:ascii="Arial" w:hAnsi="Arial" w:cs="Arial"/>
                              <w:sz w:val="18"/>
                              <w:szCs w:val="18"/>
                            </w:rPr>
                          </w:pPr>
                          <w:r w:rsidRPr="0090767D">
                            <w:rPr>
                              <w:rFonts w:ascii="Arial" w:hAnsi="Arial" w:cs="Arial"/>
                              <w:color w:val="2658A5"/>
                              <w:sz w:val="18"/>
                              <w:szCs w:val="18"/>
                            </w:rPr>
                            <w:t>Kontakt: tiskový mluvčí ČOI</w:t>
                          </w:r>
                          <w:r w:rsidRPr="0090767D">
                            <w:rPr>
                              <w:rFonts w:ascii="Arial" w:hAnsi="Arial" w:cs="Arial"/>
                              <w:color w:val="2658A5"/>
                              <w:sz w:val="18"/>
                              <w:szCs w:val="18"/>
                            </w:rPr>
                            <w:br/>
                            <w:t>Mgr. František Kotrba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341E66F" id="_x0000_s1027" type="#_x0000_t202" style="position:absolute;left:0;text-align:left;margin-left:-8.6pt;margin-top:.6pt;width:164.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" stroked="f">
              <v:textbox style="mso-fit-shape-to-text:t">
                <w:txbxContent>
                  <w:p w14:paraId="062011B3" w14:textId="70881CB0" w:rsidR="00663C7B" w:rsidRPr="0090767D" w:rsidRDefault="00663C7B" w:rsidP="00663C7B">
                    <w:pPr>
                      <w:rPr>
                        <w:rFonts w:ascii="Arial" w:hAnsi="Arial" w:cs="Arial"/>
                        <w:sz w:val="18"/>
                        <w:szCs w:val="18"/>
                      </w:rPr>
                    </w:pPr>
                    <w:r w:rsidRPr="0090767D">
                      <w:rPr>
                        <w:rFonts w:ascii="Arial" w:hAnsi="Arial" w:cs="Arial"/>
                        <w:color w:val="2658A5"/>
                        <w:sz w:val="18"/>
                        <w:szCs w:val="18"/>
                      </w:rPr>
                      <w:t>Kontakt: tiskový mluvčí ČOI</w:t>
                    </w:r>
                    <w:r w:rsidRPr="0090767D">
                      <w:rPr>
                        <w:rFonts w:ascii="Arial" w:hAnsi="Arial" w:cs="Arial"/>
                        <w:color w:val="2658A5"/>
                        <w:sz w:val="18"/>
                        <w:szCs w:val="18"/>
                      </w:rPr>
                      <w:br/>
                      <w:t>Mgr. František Kotrba</w:t>
                    </w:r>
                  </w:p>
                </w:txbxContent>
              </v:textbox>
            </v:shape>
          </w:pict>
        </mc:Fallback>
      </mc:AlternateContent>
    </w:r>
  </w:p>
  <w:p w14:paraId="2E86EAD4" w14:textId="77777777" w:rsidR="00F34A6A" w:rsidRPr="005A3A49" w:rsidRDefault="00F34A6A">
    <w:pPr>
      <w:pStyle w:val="Zpa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5B203" w14:textId="77777777" w:rsidR="00CD3C8E" w:rsidRDefault="00CD3C8E" w:rsidP="00807D68">
      <w:pPr>
        <w:spacing w:after="0" w:line="240" w:lineRule="auto"/>
      </w:pPr>
      <w:r>
        <w:separator/>
      </w:r>
    </w:p>
  </w:footnote>
  <w:footnote w:type="continuationSeparator" w:id="0">
    <w:p w14:paraId="24CCDF4F" w14:textId="77777777" w:rsidR="00CD3C8E" w:rsidRDefault="00CD3C8E" w:rsidP="0080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F505" w14:textId="77777777" w:rsidR="00807D68" w:rsidRDefault="00807D68">
    <w:pPr>
      <w:pStyle w:val="Zhlav"/>
    </w:pPr>
  </w:p>
  <w:p w14:paraId="03206D20" w14:textId="77777777" w:rsidR="00807D68" w:rsidRDefault="00807D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C75"/>
    <w:multiLevelType w:val="hybridMultilevel"/>
    <w:tmpl w:val="F034B6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D372A1"/>
    <w:multiLevelType w:val="hybridMultilevel"/>
    <w:tmpl w:val="F790DA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C6535B"/>
    <w:multiLevelType w:val="hybridMultilevel"/>
    <w:tmpl w:val="77067FCE"/>
    <w:lvl w:ilvl="0" w:tplc="A2E47128">
      <w:start w:val="13"/>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D535DF6"/>
    <w:multiLevelType w:val="hybridMultilevel"/>
    <w:tmpl w:val="FA3A331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0041CC2"/>
    <w:multiLevelType w:val="hybridMultilevel"/>
    <w:tmpl w:val="9ABC86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FB158A"/>
    <w:multiLevelType w:val="hybridMultilevel"/>
    <w:tmpl w:val="E362D29E"/>
    <w:lvl w:ilvl="0" w:tplc="90184EF8">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6" w15:restartNumberingAfterBreak="0">
    <w:nsid w:val="1CD43469"/>
    <w:multiLevelType w:val="hybridMultilevel"/>
    <w:tmpl w:val="79FE67E8"/>
    <w:lvl w:ilvl="0" w:tplc="CA5831C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771E44"/>
    <w:multiLevelType w:val="hybridMultilevel"/>
    <w:tmpl w:val="86C49B60"/>
    <w:lvl w:ilvl="0" w:tplc="352E771C">
      <w:start w:val="1"/>
      <w:numFmt w:val="lowerLetter"/>
      <w:lvlText w:val="%1)"/>
      <w:lvlJc w:val="left"/>
      <w:pPr>
        <w:ind w:left="345" w:hanging="360"/>
      </w:pPr>
      <w:rPr>
        <w:rFonts w:ascii="Arial" w:eastAsiaTheme="minorHAnsi" w:hAnsi="Arial" w:cs="Arial"/>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8" w15:restartNumberingAfterBreak="0">
    <w:nsid w:val="2988097F"/>
    <w:multiLevelType w:val="hybridMultilevel"/>
    <w:tmpl w:val="DF9AB0D8"/>
    <w:lvl w:ilvl="0" w:tplc="066234B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9" w15:restartNumberingAfterBreak="0">
    <w:nsid w:val="3F5A1D76"/>
    <w:multiLevelType w:val="hybridMultilevel"/>
    <w:tmpl w:val="9BCA0DBC"/>
    <w:lvl w:ilvl="0" w:tplc="66261D70">
      <w:start w:val="1"/>
      <w:numFmt w:val="bullet"/>
      <w:lvlText w:val="-"/>
      <w:lvlJc w:val="left"/>
      <w:pPr>
        <w:ind w:left="345" w:hanging="360"/>
      </w:pPr>
      <w:rPr>
        <w:rFonts w:ascii="Arial" w:eastAsiaTheme="minorHAnsi" w:hAnsi="Arial" w:cs="Arial" w:hint="default"/>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10" w15:restartNumberingAfterBreak="0">
    <w:nsid w:val="46882194"/>
    <w:multiLevelType w:val="hybridMultilevel"/>
    <w:tmpl w:val="09B49B16"/>
    <w:lvl w:ilvl="0" w:tplc="3F30627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11" w15:restartNumberingAfterBreak="0">
    <w:nsid w:val="58E46094"/>
    <w:multiLevelType w:val="hybridMultilevel"/>
    <w:tmpl w:val="0666F1F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Courier New"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Courier New"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Courier New" w:hint="default"/>
      </w:rPr>
    </w:lvl>
    <w:lvl w:ilvl="8" w:tplc="04050005">
      <w:start w:val="1"/>
      <w:numFmt w:val="bullet"/>
      <w:lvlText w:val=""/>
      <w:lvlJc w:val="left"/>
      <w:pPr>
        <w:ind w:left="6481" w:hanging="360"/>
      </w:pPr>
      <w:rPr>
        <w:rFonts w:ascii="Wingdings" w:hAnsi="Wingdings" w:hint="default"/>
      </w:rPr>
    </w:lvl>
  </w:abstractNum>
  <w:abstractNum w:abstractNumId="12" w15:restartNumberingAfterBreak="0">
    <w:nsid w:val="69BC2EA4"/>
    <w:multiLevelType w:val="hybridMultilevel"/>
    <w:tmpl w:val="1D1C3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A004778"/>
    <w:multiLevelType w:val="hybridMultilevel"/>
    <w:tmpl w:val="F41A51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A395D18"/>
    <w:multiLevelType w:val="hybridMultilevel"/>
    <w:tmpl w:val="C9160142"/>
    <w:lvl w:ilvl="0" w:tplc="90F21DCE">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5" w15:restartNumberingAfterBreak="0">
    <w:nsid w:val="6EE815A3"/>
    <w:multiLevelType w:val="hybridMultilevel"/>
    <w:tmpl w:val="F81CF32C"/>
    <w:lvl w:ilvl="0" w:tplc="65A26D1A">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6718021">
    <w:abstractNumId w:val="3"/>
  </w:num>
  <w:num w:numId="2" w16cid:durableId="2017029354">
    <w:abstractNumId w:val="12"/>
  </w:num>
  <w:num w:numId="3" w16cid:durableId="252783711">
    <w:abstractNumId w:val="7"/>
  </w:num>
  <w:num w:numId="4" w16cid:durableId="428506679">
    <w:abstractNumId w:val="14"/>
  </w:num>
  <w:num w:numId="5" w16cid:durableId="701519484">
    <w:abstractNumId w:val="15"/>
  </w:num>
  <w:num w:numId="6" w16cid:durableId="1558204545">
    <w:abstractNumId w:val="9"/>
  </w:num>
  <w:num w:numId="7" w16cid:durableId="1967739077">
    <w:abstractNumId w:val="8"/>
  </w:num>
  <w:num w:numId="8" w16cid:durableId="982848307">
    <w:abstractNumId w:val="5"/>
  </w:num>
  <w:num w:numId="9" w16cid:durableId="2116974443">
    <w:abstractNumId w:val="10"/>
  </w:num>
  <w:num w:numId="10" w16cid:durableId="960720169">
    <w:abstractNumId w:val="6"/>
  </w:num>
  <w:num w:numId="11" w16cid:durableId="2028410746">
    <w:abstractNumId w:val="11"/>
  </w:num>
  <w:num w:numId="12" w16cid:durableId="570233699">
    <w:abstractNumId w:val="13"/>
  </w:num>
  <w:num w:numId="13" w16cid:durableId="1467894479">
    <w:abstractNumId w:val="1"/>
  </w:num>
  <w:num w:numId="14" w16cid:durableId="1161890769">
    <w:abstractNumId w:val="0"/>
  </w:num>
  <w:num w:numId="15" w16cid:durableId="845096777">
    <w:abstractNumId w:val="4"/>
  </w:num>
  <w:num w:numId="16" w16cid:durableId="1472288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CF"/>
    <w:rsid w:val="00007B29"/>
    <w:rsid w:val="00056E6A"/>
    <w:rsid w:val="000741E3"/>
    <w:rsid w:val="00080F87"/>
    <w:rsid w:val="000B3C18"/>
    <w:rsid w:val="000B3ECB"/>
    <w:rsid w:val="000E28FA"/>
    <w:rsid w:val="000E2C64"/>
    <w:rsid w:val="00106D35"/>
    <w:rsid w:val="0010721B"/>
    <w:rsid w:val="00142850"/>
    <w:rsid w:val="00143E7B"/>
    <w:rsid w:val="001472E1"/>
    <w:rsid w:val="00152827"/>
    <w:rsid w:val="00167F18"/>
    <w:rsid w:val="001725B9"/>
    <w:rsid w:val="00192BDE"/>
    <w:rsid w:val="001A5542"/>
    <w:rsid w:val="001C38DE"/>
    <w:rsid w:val="001D0E07"/>
    <w:rsid w:val="001D158E"/>
    <w:rsid w:val="001D5235"/>
    <w:rsid w:val="002012CC"/>
    <w:rsid w:val="00225F02"/>
    <w:rsid w:val="002726E7"/>
    <w:rsid w:val="002747E8"/>
    <w:rsid w:val="002B7C92"/>
    <w:rsid w:val="002C050A"/>
    <w:rsid w:val="002C2749"/>
    <w:rsid w:val="002D51F8"/>
    <w:rsid w:val="0030473A"/>
    <w:rsid w:val="00350179"/>
    <w:rsid w:val="00363379"/>
    <w:rsid w:val="0037728A"/>
    <w:rsid w:val="003E1F02"/>
    <w:rsid w:val="003E3B85"/>
    <w:rsid w:val="003F2528"/>
    <w:rsid w:val="003F38A9"/>
    <w:rsid w:val="004022EF"/>
    <w:rsid w:val="0041440B"/>
    <w:rsid w:val="00432A70"/>
    <w:rsid w:val="0043419B"/>
    <w:rsid w:val="0046373B"/>
    <w:rsid w:val="00493D8C"/>
    <w:rsid w:val="00494ACB"/>
    <w:rsid w:val="0049637D"/>
    <w:rsid w:val="004E28F6"/>
    <w:rsid w:val="004F3AA9"/>
    <w:rsid w:val="00506781"/>
    <w:rsid w:val="00526090"/>
    <w:rsid w:val="005545CE"/>
    <w:rsid w:val="005702A5"/>
    <w:rsid w:val="00572CFD"/>
    <w:rsid w:val="00577B57"/>
    <w:rsid w:val="005837B9"/>
    <w:rsid w:val="005923C5"/>
    <w:rsid w:val="00592C1D"/>
    <w:rsid w:val="0059503F"/>
    <w:rsid w:val="005A0FA4"/>
    <w:rsid w:val="005A3A49"/>
    <w:rsid w:val="005B2A55"/>
    <w:rsid w:val="005C435F"/>
    <w:rsid w:val="005D105B"/>
    <w:rsid w:val="005E159D"/>
    <w:rsid w:val="005E3D23"/>
    <w:rsid w:val="005F776A"/>
    <w:rsid w:val="005F7F53"/>
    <w:rsid w:val="0060731F"/>
    <w:rsid w:val="0061127C"/>
    <w:rsid w:val="00653A86"/>
    <w:rsid w:val="00656822"/>
    <w:rsid w:val="00663C7B"/>
    <w:rsid w:val="00681DA5"/>
    <w:rsid w:val="006B7269"/>
    <w:rsid w:val="006C77CE"/>
    <w:rsid w:val="006D428D"/>
    <w:rsid w:val="006E3BFD"/>
    <w:rsid w:val="006F6413"/>
    <w:rsid w:val="0070124B"/>
    <w:rsid w:val="0073117A"/>
    <w:rsid w:val="00735C36"/>
    <w:rsid w:val="00752488"/>
    <w:rsid w:val="00771930"/>
    <w:rsid w:val="00775050"/>
    <w:rsid w:val="00777C82"/>
    <w:rsid w:val="007B6434"/>
    <w:rsid w:val="007C3195"/>
    <w:rsid w:val="007C40CF"/>
    <w:rsid w:val="007D6665"/>
    <w:rsid w:val="007E237F"/>
    <w:rsid w:val="008078D2"/>
    <w:rsid w:val="00807D68"/>
    <w:rsid w:val="0084477F"/>
    <w:rsid w:val="008632A4"/>
    <w:rsid w:val="00885497"/>
    <w:rsid w:val="00890135"/>
    <w:rsid w:val="0089254F"/>
    <w:rsid w:val="008A5014"/>
    <w:rsid w:val="008B0846"/>
    <w:rsid w:val="008F22C0"/>
    <w:rsid w:val="00904CB2"/>
    <w:rsid w:val="0090767D"/>
    <w:rsid w:val="009145E5"/>
    <w:rsid w:val="00917CF5"/>
    <w:rsid w:val="0092339C"/>
    <w:rsid w:val="009266E9"/>
    <w:rsid w:val="00955DA0"/>
    <w:rsid w:val="0097055F"/>
    <w:rsid w:val="00970F06"/>
    <w:rsid w:val="00971704"/>
    <w:rsid w:val="00972523"/>
    <w:rsid w:val="00993300"/>
    <w:rsid w:val="009C191D"/>
    <w:rsid w:val="009C71B9"/>
    <w:rsid w:val="009E32D6"/>
    <w:rsid w:val="009F2D9C"/>
    <w:rsid w:val="00A04DA8"/>
    <w:rsid w:val="00A05D3A"/>
    <w:rsid w:val="00A161BD"/>
    <w:rsid w:val="00A57931"/>
    <w:rsid w:val="00A66848"/>
    <w:rsid w:val="00A81783"/>
    <w:rsid w:val="00A95A44"/>
    <w:rsid w:val="00AD2EE9"/>
    <w:rsid w:val="00AD5BED"/>
    <w:rsid w:val="00B058DB"/>
    <w:rsid w:val="00B205BA"/>
    <w:rsid w:val="00B20F24"/>
    <w:rsid w:val="00B40171"/>
    <w:rsid w:val="00B44F4B"/>
    <w:rsid w:val="00B97A9C"/>
    <w:rsid w:val="00BD02A1"/>
    <w:rsid w:val="00BE29F2"/>
    <w:rsid w:val="00BF45C5"/>
    <w:rsid w:val="00BF5CA1"/>
    <w:rsid w:val="00C03B41"/>
    <w:rsid w:val="00C05AC6"/>
    <w:rsid w:val="00C241B4"/>
    <w:rsid w:val="00C41758"/>
    <w:rsid w:val="00C43D14"/>
    <w:rsid w:val="00C4704F"/>
    <w:rsid w:val="00C937E8"/>
    <w:rsid w:val="00C97D46"/>
    <w:rsid w:val="00CA4F0B"/>
    <w:rsid w:val="00CD11D7"/>
    <w:rsid w:val="00CD3C8E"/>
    <w:rsid w:val="00CE40CA"/>
    <w:rsid w:val="00CF6F01"/>
    <w:rsid w:val="00D00046"/>
    <w:rsid w:val="00D100A7"/>
    <w:rsid w:val="00D2107A"/>
    <w:rsid w:val="00D230ED"/>
    <w:rsid w:val="00D329DD"/>
    <w:rsid w:val="00D33380"/>
    <w:rsid w:val="00D353B4"/>
    <w:rsid w:val="00D40E2F"/>
    <w:rsid w:val="00D66CD2"/>
    <w:rsid w:val="00D763A0"/>
    <w:rsid w:val="00D82F55"/>
    <w:rsid w:val="00D8316C"/>
    <w:rsid w:val="00D966A5"/>
    <w:rsid w:val="00DB284A"/>
    <w:rsid w:val="00DC5B7E"/>
    <w:rsid w:val="00DD2479"/>
    <w:rsid w:val="00E01D17"/>
    <w:rsid w:val="00E17BF0"/>
    <w:rsid w:val="00E27FB5"/>
    <w:rsid w:val="00E44096"/>
    <w:rsid w:val="00E53779"/>
    <w:rsid w:val="00E561BC"/>
    <w:rsid w:val="00E8436F"/>
    <w:rsid w:val="00E90D9C"/>
    <w:rsid w:val="00EA1D75"/>
    <w:rsid w:val="00EA39B4"/>
    <w:rsid w:val="00ED4CDF"/>
    <w:rsid w:val="00EF3E1F"/>
    <w:rsid w:val="00F168AF"/>
    <w:rsid w:val="00F34A6A"/>
    <w:rsid w:val="00F4039A"/>
    <w:rsid w:val="00F4644A"/>
    <w:rsid w:val="00F53C17"/>
    <w:rsid w:val="00F55D33"/>
    <w:rsid w:val="00F601DE"/>
    <w:rsid w:val="00F70689"/>
    <w:rsid w:val="00F70880"/>
    <w:rsid w:val="00FB39B8"/>
    <w:rsid w:val="00FD0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64AC"/>
  <w15:chartTrackingRefBased/>
  <w15:docId w15:val="{A6B7E4F7-B832-45EB-B1F5-D1FAA85C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7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7D68"/>
  </w:style>
  <w:style w:type="paragraph" w:styleId="Zpat">
    <w:name w:val="footer"/>
    <w:basedOn w:val="Normln"/>
    <w:link w:val="ZpatChar"/>
    <w:uiPriority w:val="99"/>
    <w:unhideWhenUsed/>
    <w:rsid w:val="00807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07D68"/>
  </w:style>
  <w:style w:type="table" w:styleId="Mkatabulky">
    <w:name w:val="Table Grid"/>
    <w:basedOn w:val="Normlntabulka"/>
    <w:uiPriority w:val="39"/>
    <w:rsid w:val="00B4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C1D"/>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F53C17"/>
    <w:pPr>
      <w:spacing w:after="200" w:line="276" w:lineRule="auto"/>
      <w:ind w:left="720"/>
      <w:contextualSpacing/>
    </w:pPr>
    <w:rPr>
      <w:rFonts w:ascii="Calibri" w:eastAsia="Calibri" w:hAnsi="Calibri" w:cs="Times New Roman"/>
    </w:rPr>
  </w:style>
  <w:style w:type="paragraph" w:styleId="Bezmezer">
    <w:name w:val="No Spacing"/>
    <w:link w:val="BezmezerChar"/>
    <w:uiPriority w:val="1"/>
    <w:qFormat/>
    <w:rsid w:val="006D428D"/>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1"/>
    <w:locked/>
    <w:rsid w:val="006D428D"/>
    <w:rPr>
      <w:rFonts w:ascii="Times New Roman" w:eastAsia="Times New Roman" w:hAnsi="Times New Roman" w:cs="Times New Roman"/>
      <w:sz w:val="24"/>
      <w:szCs w:val="24"/>
      <w:lang w:eastAsia="cs-CZ"/>
    </w:rPr>
  </w:style>
  <w:style w:type="paragraph" w:styleId="Revize">
    <w:name w:val="Revision"/>
    <w:hidden/>
    <w:uiPriority w:val="99"/>
    <w:semiHidden/>
    <w:rsid w:val="000E28FA"/>
    <w:pPr>
      <w:spacing w:after="0" w:line="240" w:lineRule="auto"/>
    </w:pPr>
  </w:style>
  <w:style w:type="character" w:styleId="Odkaznakoment">
    <w:name w:val="annotation reference"/>
    <w:basedOn w:val="Standardnpsmoodstavce"/>
    <w:uiPriority w:val="99"/>
    <w:semiHidden/>
    <w:unhideWhenUsed/>
    <w:rsid w:val="00777C82"/>
    <w:rPr>
      <w:sz w:val="16"/>
      <w:szCs w:val="16"/>
    </w:rPr>
  </w:style>
  <w:style w:type="paragraph" w:styleId="Textkomente">
    <w:name w:val="annotation text"/>
    <w:basedOn w:val="Normln"/>
    <w:link w:val="TextkomenteChar"/>
    <w:uiPriority w:val="99"/>
    <w:semiHidden/>
    <w:unhideWhenUsed/>
    <w:rsid w:val="00777C82"/>
    <w:pPr>
      <w:spacing w:line="240" w:lineRule="auto"/>
    </w:pPr>
    <w:rPr>
      <w:sz w:val="20"/>
      <w:szCs w:val="20"/>
    </w:rPr>
  </w:style>
  <w:style w:type="character" w:customStyle="1" w:styleId="TextkomenteChar">
    <w:name w:val="Text komentáře Char"/>
    <w:basedOn w:val="Standardnpsmoodstavce"/>
    <w:link w:val="Textkomente"/>
    <w:uiPriority w:val="99"/>
    <w:semiHidden/>
    <w:rsid w:val="00777C82"/>
    <w:rPr>
      <w:sz w:val="20"/>
      <w:szCs w:val="20"/>
    </w:rPr>
  </w:style>
  <w:style w:type="paragraph" w:styleId="Pedmtkomente">
    <w:name w:val="annotation subject"/>
    <w:basedOn w:val="Textkomente"/>
    <w:next w:val="Textkomente"/>
    <w:link w:val="PedmtkomenteChar"/>
    <w:uiPriority w:val="99"/>
    <w:semiHidden/>
    <w:unhideWhenUsed/>
    <w:rsid w:val="00777C82"/>
    <w:rPr>
      <w:b/>
      <w:bCs/>
    </w:rPr>
  </w:style>
  <w:style w:type="character" w:customStyle="1" w:styleId="PedmtkomenteChar">
    <w:name w:val="Předmět komentáře Char"/>
    <w:basedOn w:val="TextkomenteChar"/>
    <w:link w:val="Pedmtkomente"/>
    <w:uiPriority w:val="99"/>
    <w:semiHidden/>
    <w:rsid w:val="00777C82"/>
    <w:rPr>
      <w:b/>
      <w:bCs/>
      <w:sz w:val="20"/>
      <w:szCs w:val="20"/>
    </w:rPr>
  </w:style>
  <w:style w:type="paragraph" w:styleId="Normlnweb">
    <w:name w:val="Normal (Web)"/>
    <w:basedOn w:val="Normln"/>
    <w:uiPriority w:val="99"/>
    <w:semiHidden/>
    <w:unhideWhenUsed/>
    <w:rsid w:val="004022EF"/>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426743">
      <w:bodyDiv w:val="1"/>
      <w:marLeft w:val="0"/>
      <w:marRight w:val="0"/>
      <w:marTop w:val="0"/>
      <w:marBottom w:val="0"/>
      <w:divBdr>
        <w:top w:val="none" w:sz="0" w:space="0" w:color="auto"/>
        <w:left w:val="none" w:sz="0" w:space="0" w:color="auto"/>
        <w:bottom w:val="none" w:sz="0" w:space="0" w:color="auto"/>
        <w:right w:val="none" w:sz="0" w:space="0" w:color="auto"/>
      </w:divBdr>
    </w:div>
    <w:div w:id="1038702167">
      <w:bodyDiv w:val="1"/>
      <w:marLeft w:val="0"/>
      <w:marRight w:val="0"/>
      <w:marTop w:val="0"/>
      <w:marBottom w:val="0"/>
      <w:divBdr>
        <w:top w:val="none" w:sz="0" w:space="0" w:color="auto"/>
        <w:left w:val="none" w:sz="0" w:space="0" w:color="auto"/>
        <w:bottom w:val="none" w:sz="0" w:space="0" w:color="auto"/>
        <w:right w:val="none" w:sz="0" w:space="0" w:color="auto"/>
      </w:divBdr>
    </w:div>
    <w:div w:id="1426538806">
      <w:bodyDiv w:val="1"/>
      <w:marLeft w:val="0"/>
      <w:marRight w:val="0"/>
      <w:marTop w:val="0"/>
      <w:marBottom w:val="0"/>
      <w:divBdr>
        <w:top w:val="none" w:sz="0" w:space="0" w:color="auto"/>
        <w:left w:val="none" w:sz="0" w:space="0" w:color="auto"/>
        <w:bottom w:val="none" w:sz="0" w:space="0" w:color="auto"/>
        <w:right w:val="none" w:sz="0" w:space="0" w:color="auto"/>
      </w:divBdr>
    </w:div>
    <w:div w:id="149476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FEE7-98A3-4788-B967-47E16946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1546</Words>
  <Characters>6141</Characters>
  <Application>Microsoft Office Word</Application>
  <DocSecurity>0</DocSecurity>
  <Lines>877</Lines>
  <Paragraphs>854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Klimecká Ester, Mgr. Bc.</dc:creator>
  <cp:keywords/>
  <dc:description/>
  <cp:lastModifiedBy>Tichota Ondřej, Mgr., DiS.</cp:lastModifiedBy>
  <cp:revision>16</cp:revision>
  <cp:lastPrinted>2025-01-14T15:40:00Z</cp:lastPrinted>
  <dcterms:created xsi:type="dcterms:W3CDTF">2025-03-11T10:50:00Z</dcterms:created>
  <dcterms:modified xsi:type="dcterms:W3CDTF">2025-04-02T11:19:00Z</dcterms:modified>
</cp:coreProperties>
</file>