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1446B" w14:textId="77777777" w:rsidR="00AC3C9B" w:rsidRPr="00AC3C9B" w:rsidRDefault="00AC3C9B" w:rsidP="00AC3C9B">
      <w:pPr>
        <w:spacing w:before="240"/>
        <w:jc w:val="right"/>
        <w:rPr>
          <w:rFonts w:cstheme="minorHAnsi"/>
          <w:color w:val="2658A5"/>
          <w:sz w:val="48"/>
          <w:szCs w:val="48"/>
        </w:rPr>
      </w:pPr>
      <w:r w:rsidRPr="00AC3C9B">
        <w:rPr>
          <w:rFonts w:cstheme="minorHAnsi"/>
          <w:noProof/>
          <w:color w:val="2658A5"/>
          <w:sz w:val="48"/>
          <w:szCs w:val="48"/>
          <w:lang w:eastAsia="cs-CZ"/>
        </w:rPr>
        <w:drawing>
          <wp:anchor distT="0" distB="0" distL="114300" distR="114300" simplePos="0" relativeHeight="251659264" behindDoc="0" locked="0" layoutInCell="1" allowOverlap="1" wp14:anchorId="2FEA9909" wp14:editId="55FDB1C7">
            <wp:simplePos x="0" y="0"/>
            <wp:positionH relativeFrom="column">
              <wp:posOffset>-156845</wp:posOffset>
            </wp:positionH>
            <wp:positionV relativeFrom="paragraph">
              <wp:posOffset>-72390</wp:posOffset>
            </wp:positionV>
            <wp:extent cx="2876550" cy="793759"/>
            <wp:effectExtent l="0" t="0" r="0" b="6350"/>
            <wp:wrapNone/>
            <wp:docPr id="1901269243" name="Obrázek 2"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269243" name="Obrázek 2" descr="Obsah obrázku text, Písmo, logo, Grafik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6550" cy="793759"/>
                    </a:xfrm>
                    <a:prstGeom prst="rect">
                      <a:avLst/>
                    </a:prstGeom>
                  </pic:spPr>
                </pic:pic>
              </a:graphicData>
            </a:graphic>
            <wp14:sizeRelH relativeFrom="page">
              <wp14:pctWidth>0</wp14:pctWidth>
            </wp14:sizeRelH>
            <wp14:sizeRelV relativeFrom="page">
              <wp14:pctHeight>0</wp14:pctHeight>
            </wp14:sizeRelV>
          </wp:anchor>
        </w:drawing>
      </w:r>
      <w:r w:rsidRPr="00AC3C9B">
        <w:rPr>
          <w:rFonts w:cstheme="minorHAnsi"/>
          <w:color w:val="2658A5"/>
          <w:sz w:val="48"/>
          <w:szCs w:val="48"/>
        </w:rPr>
        <w:t>PRESS RELEASE</w:t>
      </w:r>
    </w:p>
    <w:p w14:paraId="7BDC8DE0" w14:textId="77777777" w:rsidR="003E3B85" w:rsidRPr="00AC3C9B" w:rsidRDefault="003E3B85" w:rsidP="003E3B85">
      <w:pPr>
        <w:spacing w:before="240"/>
        <w:rPr>
          <w:rFonts w:cstheme="minorHAnsi"/>
          <w:b/>
          <w:bCs/>
          <w:color w:val="2658A5"/>
          <w:sz w:val="32"/>
          <w:szCs w:val="32"/>
          <w:lang w:val="en-GB"/>
        </w:rPr>
      </w:pPr>
    </w:p>
    <w:p w14:paraId="3E08494E" w14:textId="77777777" w:rsidR="00AC3C9B" w:rsidRPr="00AC3C9B" w:rsidRDefault="00AC3C9B" w:rsidP="00AC3C9B">
      <w:pPr>
        <w:pStyle w:val="Normlnweb"/>
        <w:rPr>
          <w:rFonts w:asciiTheme="minorHAnsi" w:eastAsiaTheme="minorHAnsi" w:hAnsiTheme="minorHAnsi" w:cstheme="minorHAnsi"/>
          <w:b/>
          <w:bCs/>
          <w:color w:val="2658A5"/>
          <w:sz w:val="32"/>
          <w:szCs w:val="32"/>
          <w:lang w:val="en-GB" w:eastAsia="en-US"/>
        </w:rPr>
      </w:pPr>
      <w:r w:rsidRPr="00AC3C9B">
        <w:rPr>
          <w:rFonts w:asciiTheme="minorHAnsi" w:eastAsiaTheme="minorHAnsi" w:hAnsiTheme="minorHAnsi" w:cstheme="minorHAnsi"/>
          <w:b/>
          <w:bCs/>
          <w:color w:val="2658A5"/>
          <w:sz w:val="32"/>
          <w:szCs w:val="32"/>
          <w:lang w:val="en-GB" w:eastAsia="en-US"/>
        </w:rPr>
        <w:t xml:space="preserve">Czech Trade Inspection Authority inspected the obligations of sellers providing discounts on product </w:t>
      </w:r>
      <w:proofErr w:type="gramStart"/>
      <w:r w:rsidRPr="00AC3C9B">
        <w:rPr>
          <w:rFonts w:asciiTheme="minorHAnsi" w:eastAsiaTheme="minorHAnsi" w:hAnsiTheme="minorHAnsi" w:cstheme="minorHAnsi"/>
          <w:b/>
          <w:bCs/>
          <w:color w:val="2658A5"/>
          <w:sz w:val="32"/>
          <w:szCs w:val="32"/>
          <w:lang w:val="en-GB" w:eastAsia="en-US"/>
        </w:rPr>
        <w:t>prices</w:t>
      </w:r>
      <w:proofErr w:type="gramEnd"/>
    </w:p>
    <w:p w14:paraId="5EF0FA32" w14:textId="77777777" w:rsidR="00AC3C9B" w:rsidRPr="00AC3C9B" w:rsidRDefault="00AC3C9B" w:rsidP="00AC3C9B">
      <w:pPr>
        <w:pStyle w:val="Normlnweb"/>
        <w:rPr>
          <w:rFonts w:asciiTheme="minorHAnsi" w:hAnsiTheme="minorHAnsi" w:cstheme="minorHAnsi"/>
          <w:lang w:val="en-GB"/>
        </w:rPr>
      </w:pPr>
      <w:r w:rsidRPr="00AC3C9B">
        <w:rPr>
          <w:rFonts w:asciiTheme="minorHAnsi" w:hAnsiTheme="minorHAnsi" w:cstheme="minorHAnsi"/>
          <w:i/>
          <w:iCs/>
          <w:lang w:val="en-GB"/>
        </w:rPr>
        <w:t>(Final report for 2024)</w:t>
      </w:r>
    </w:p>
    <w:p w14:paraId="5DBB273B" w14:textId="7FCAEDA9" w:rsidR="00AC3C9B" w:rsidRPr="00AC3C9B" w:rsidRDefault="00AC3C9B" w:rsidP="00AC3C9B">
      <w:pPr>
        <w:pStyle w:val="Normlnweb"/>
        <w:rPr>
          <w:rFonts w:asciiTheme="minorHAnsi" w:hAnsiTheme="minorHAnsi" w:cstheme="minorHAnsi"/>
          <w:lang w:val="en-GB"/>
        </w:rPr>
      </w:pPr>
      <w:r w:rsidRPr="00AC3C9B">
        <w:rPr>
          <w:rFonts w:asciiTheme="minorHAnsi" w:hAnsiTheme="minorHAnsi" w:cstheme="minorHAnsi"/>
          <w:lang w:val="en-GB"/>
        </w:rPr>
        <w:t xml:space="preserve">(Prague, 3 April 2025) </w:t>
      </w:r>
      <w:r w:rsidRPr="00AC3C9B">
        <w:rPr>
          <w:rFonts w:asciiTheme="minorHAnsi" w:hAnsiTheme="minorHAnsi" w:cstheme="minorHAnsi"/>
          <w:b/>
          <w:bCs/>
          <w:lang w:val="en-GB"/>
        </w:rPr>
        <w:t>During the past year, the Czech Trade Inspection Authority focused on the fulfilment of obligations arising from Act No. 634/1992 Coll., on Consumer Protection as imposed on vendors offering and selling goods in relation to the provision of discounts.</w:t>
      </w:r>
      <w:r w:rsidRPr="00AC3C9B">
        <w:rPr>
          <w:rFonts w:asciiTheme="minorHAnsi" w:hAnsiTheme="minorHAnsi" w:cstheme="minorHAnsi"/>
          <w:lang w:val="en-GB"/>
        </w:rPr>
        <w:t xml:space="preserve"> </w:t>
      </w:r>
      <w:r w:rsidRPr="00AC3C9B">
        <w:rPr>
          <w:rFonts w:asciiTheme="minorHAnsi" w:hAnsiTheme="minorHAnsi" w:cstheme="minorHAnsi"/>
          <w:b/>
          <w:bCs/>
          <w:lang w:val="en-GB"/>
        </w:rPr>
        <w:t>Within the inspection action, it carried out a total of 1,755 inspections, and infringements of legal regulations were detected in 796 case</w:t>
      </w:r>
      <w:r>
        <w:rPr>
          <w:rFonts w:asciiTheme="minorHAnsi" w:hAnsiTheme="minorHAnsi" w:cstheme="minorHAnsi"/>
          <w:b/>
          <w:bCs/>
          <w:lang w:val="en-GB"/>
        </w:rPr>
        <w:t>s</w:t>
      </w:r>
      <w:r w:rsidRPr="00AC3C9B">
        <w:rPr>
          <w:rFonts w:asciiTheme="minorHAnsi" w:hAnsiTheme="minorHAnsi" w:cstheme="minorHAnsi"/>
          <w:b/>
          <w:bCs/>
          <w:lang w:val="en-GB"/>
        </w:rPr>
        <w:t>, i.e. 45.36% of the total number of inspections carried out.</w:t>
      </w:r>
      <w:r w:rsidRPr="00AC3C9B">
        <w:rPr>
          <w:rFonts w:asciiTheme="minorHAnsi" w:hAnsiTheme="minorHAnsi" w:cstheme="minorHAnsi"/>
          <w:lang w:val="en-GB"/>
        </w:rPr>
        <w:t xml:space="preserve"> </w:t>
      </w:r>
    </w:p>
    <w:p w14:paraId="6FDCDED1" w14:textId="270C64BB" w:rsidR="00AC3C9B" w:rsidRPr="00AC3C9B" w:rsidRDefault="00AC3C9B" w:rsidP="00AC3C9B">
      <w:pPr>
        <w:pStyle w:val="Normlnweb"/>
        <w:rPr>
          <w:rFonts w:asciiTheme="minorHAnsi" w:hAnsiTheme="minorHAnsi" w:cstheme="minorHAnsi"/>
          <w:lang w:val="en-GB"/>
        </w:rPr>
      </w:pPr>
      <w:r w:rsidRPr="00AC3C9B">
        <w:rPr>
          <w:rFonts w:asciiTheme="minorHAnsi" w:hAnsiTheme="minorHAnsi" w:cstheme="minorHAnsi"/>
          <w:lang w:val="en-GB"/>
        </w:rPr>
        <w:t>The inspections were aimed at sellers throughout the market, including e-shops, in the period from 2 January to 31 December 2024. The objective of the inspection action was to see if sellers, when providing discounts on product prices, inform consumers of the lowest price at which the product was offered before the discount was granted and whether this information is provided in compliance with the requirements of the legislation. The inspection result</w:t>
      </w:r>
      <w:r>
        <w:rPr>
          <w:rFonts w:asciiTheme="minorHAnsi" w:hAnsiTheme="minorHAnsi" w:cstheme="minorHAnsi"/>
          <w:lang w:val="en-GB"/>
        </w:rPr>
        <w:t>s</w:t>
      </w:r>
      <w:r w:rsidRPr="00AC3C9B">
        <w:rPr>
          <w:rFonts w:asciiTheme="minorHAnsi" w:hAnsiTheme="minorHAnsi" w:cstheme="minorHAnsi"/>
          <w:lang w:val="en-GB"/>
        </w:rPr>
        <w:t xml:space="preserve"> also showed whether the price reductions are calculated correctly and whether the products are also sold for the prices so determined. </w:t>
      </w:r>
    </w:p>
    <w:p w14:paraId="075CF6B5" w14:textId="77777777" w:rsidR="00AC3C9B" w:rsidRPr="00AC3C9B" w:rsidRDefault="00AC3C9B" w:rsidP="00AC3C9B">
      <w:pPr>
        <w:pStyle w:val="Normlnweb"/>
        <w:rPr>
          <w:rFonts w:asciiTheme="minorHAnsi" w:hAnsiTheme="minorHAnsi" w:cstheme="minorHAnsi"/>
          <w:lang w:val="en-GB"/>
        </w:rPr>
      </w:pPr>
      <w:r w:rsidRPr="00AC3C9B">
        <w:rPr>
          <w:rFonts w:asciiTheme="minorHAnsi" w:hAnsiTheme="minorHAnsi" w:cstheme="minorHAnsi"/>
          <w:b/>
          <w:bCs/>
          <w:lang w:val="en-GB"/>
        </w:rPr>
        <w:t>The most frequent finding was the violation of Section 12a of</w:t>
      </w:r>
      <w:r w:rsidRPr="00AC3C9B">
        <w:rPr>
          <w:rFonts w:asciiTheme="minorHAnsi" w:hAnsiTheme="minorHAnsi" w:cstheme="minorHAnsi"/>
          <w:lang w:val="en-GB"/>
        </w:rPr>
        <w:t xml:space="preserve"> the Act on Consumer Protection, consisting in the failure to provide information or the provision of incorrect information </w:t>
      </w:r>
      <w:r w:rsidRPr="00AC3C9B">
        <w:rPr>
          <w:rFonts w:asciiTheme="minorHAnsi" w:hAnsiTheme="minorHAnsi" w:cstheme="minorHAnsi"/>
          <w:b/>
          <w:bCs/>
          <w:lang w:val="en-GB"/>
        </w:rPr>
        <w:t>on the lowest price at which the product was sold or offered in the 30 days period before the discount was provided.</w:t>
      </w:r>
      <w:r w:rsidRPr="00AC3C9B">
        <w:rPr>
          <w:rFonts w:asciiTheme="minorHAnsi" w:hAnsiTheme="minorHAnsi" w:cstheme="minorHAnsi"/>
          <w:lang w:val="en-GB"/>
        </w:rPr>
        <w:t xml:space="preserve"> This obligation, relating to the correct information about the discount, was breached in a total of </w:t>
      </w:r>
      <w:r w:rsidRPr="00AC3C9B">
        <w:rPr>
          <w:rFonts w:asciiTheme="minorHAnsi" w:hAnsiTheme="minorHAnsi" w:cstheme="minorHAnsi"/>
          <w:b/>
          <w:bCs/>
          <w:lang w:val="en-GB"/>
        </w:rPr>
        <w:t>370 cases</w:t>
      </w:r>
      <w:r w:rsidRPr="00AC3C9B">
        <w:rPr>
          <w:rFonts w:asciiTheme="minorHAnsi" w:hAnsiTheme="minorHAnsi" w:cstheme="minorHAnsi"/>
          <w:lang w:val="en-GB"/>
        </w:rPr>
        <w:t xml:space="preserve">. The second most frequent finding was the breach of Section 3 of the Act on Consumer Protection, which regulates the </w:t>
      </w:r>
      <w:r w:rsidRPr="00AC3C9B">
        <w:rPr>
          <w:rFonts w:asciiTheme="minorHAnsi" w:hAnsiTheme="minorHAnsi" w:cstheme="minorHAnsi"/>
          <w:b/>
          <w:bCs/>
          <w:lang w:val="en-GB"/>
        </w:rPr>
        <w:t>fairness of sale of products and the provision of services, in 170 cases</w:t>
      </w:r>
      <w:r w:rsidRPr="00AC3C9B">
        <w:rPr>
          <w:rFonts w:asciiTheme="minorHAnsi" w:hAnsiTheme="minorHAnsi" w:cstheme="minorHAnsi"/>
          <w:lang w:val="en-GB"/>
        </w:rPr>
        <w:t xml:space="preserve">. Of these, </w:t>
      </w:r>
      <w:r w:rsidRPr="00AC3C9B">
        <w:rPr>
          <w:rFonts w:asciiTheme="minorHAnsi" w:hAnsiTheme="minorHAnsi" w:cstheme="minorHAnsi"/>
          <w:b/>
          <w:bCs/>
          <w:lang w:val="en-GB"/>
        </w:rPr>
        <w:t>in 154 cases</w:t>
      </w:r>
      <w:r w:rsidRPr="00AC3C9B">
        <w:rPr>
          <w:rFonts w:asciiTheme="minorHAnsi" w:hAnsiTheme="minorHAnsi" w:cstheme="minorHAnsi"/>
          <w:lang w:val="en-GB"/>
        </w:rPr>
        <w:t xml:space="preserve"> CTIA </w:t>
      </w:r>
      <w:r w:rsidRPr="00AC3C9B">
        <w:rPr>
          <w:rFonts w:asciiTheme="minorHAnsi" w:hAnsiTheme="minorHAnsi" w:cstheme="minorHAnsi"/>
          <w:b/>
          <w:bCs/>
          <w:lang w:val="en-GB"/>
        </w:rPr>
        <w:t>officers found the breach of Section 3(1)(c), where incorrect charging for the products sold occurred.</w:t>
      </w:r>
      <w:r w:rsidRPr="00AC3C9B">
        <w:rPr>
          <w:rFonts w:asciiTheme="minorHAnsi" w:hAnsiTheme="minorHAnsi" w:cstheme="minorHAnsi"/>
          <w:lang w:val="en-GB"/>
        </w:rPr>
        <w:t xml:space="preserve"> Another frequently breached provision of the Consumer Protection Act was </w:t>
      </w:r>
      <w:r w:rsidRPr="00AC3C9B">
        <w:rPr>
          <w:rFonts w:asciiTheme="minorHAnsi" w:hAnsiTheme="minorHAnsi" w:cstheme="minorHAnsi"/>
          <w:b/>
          <w:bCs/>
          <w:lang w:val="en-GB"/>
        </w:rPr>
        <w:t>Section 12</w:t>
      </w:r>
      <w:r w:rsidRPr="00AC3C9B">
        <w:rPr>
          <w:rFonts w:asciiTheme="minorHAnsi" w:hAnsiTheme="minorHAnsi" w:cstheme="minorHAnsi"/>
          <w:lang w:val="en-GB"/>
        </w:rPr>
        <w:t xml:space="preserve">, governing the seller's obligation to </w:t>
      </w:r>
      <w:r w:rsidRPr="00AC3C9B">
        <w:rPr>
          <w:rFonts w:asciiTheme="minorHAnsi" w:hAnsiTheme="minorHAnsi" w:cstheme="minorHAnsi"/>
          <w:b/>
          <w:bCs/>
          <w:lang w:val="en-GB"/>
        </w:rPr>
        <w:t xml:space="preserve">inform, in compliance with price regulations, the price of the products </w:t>
      </w:r>
      <w:proofErr w:type="gramStart"/>
      <w:r w:rsidRPr="00AC3C9B">
        <w:rPr>
          <w:rFonts w:asciiTheme="minorHAnsi" w:hAnsiTheme="minorHAnsi" w:cstheme="minorHAnsi"/>
          <w:b/>
          <w:bCs/>
          <w:lang w:val="en-GB"/>
        </w:rPr>
        <w:t>sold</w:t>
      </w:r>
      <w:proofErr w:type="gramEnd"/>
      <w:r w:rsidRPr="00AC3C9B">
        <w:rPr>
          <w:rFonts w:asciiTheme="minorHAnsi" w:hAnsiTheme="minorHAnsi" w:cstheme="minorHAnsi"/>
          <w:b/>
          <w:bCs/>
          <w:lang w:val="en-GB"/>
        </w:rPr>
        <w:t xml:space="preserve"> or services provided</w:t>
      </w:r>
      <w:r w:rsidRPr="00AC3C9B">
        <w:rPr>
          <w:rFonts w:asciiTheme="minorHAnsi" w:hAnsiTheme="minorHAnsi" w:cstheme="minorHAnsi"/>
          <w:lang w:val="en-GB"/>
        </w:rPr>
        <w:t xml:space="preserve">. These shortcomings were </w:t>
      </w:r>
      <w:r w:rsidRPr="00AC3C9B">
        <w:rPr>
          <w:rFonts w:asciiTheme="minorHAnsi" w:hAnsiTheme="minorHAnsi" w:cstheme="minorHAnsi"/>
          <w:b/>
          <w:bCs/>
          <w:lang w:val="en-GB"/>
        </w:rPr>
        <w:t>found in 140 cases.</w:t>
      </w:r>
      <w:r w:rsidRPr="00AC3C9B">
        <w:rPr>
          <w:rFonts w:asciiTheme="minorHAnsi" w:hAnsiTheme="minorHAnsi" w:cstheme="minorHAnsi"/>
          <w:lang w:val="en-GB"/>
        </w:rPr>
        <w:t xml:space="preserve"> </w:t>
      </w:r>
    </w:p>
    <w:p w14:paraId="14713E1F" w14:textId="77777777" w:rsidR="00AC3C9B" w:rsidRPr="00AC3C9B" w:rsidRDefault="00AC3C9B" w:rsidP="00AC3C9B">
      <w:pPr>
        <w:pStyle w:val="Normlnweb"/>
        <w:rPr>
          <w:rFonts w:asciiTheme="minorHAnsi" w:hAnsiTheme="minorHAnsi" w:cstheme="minorHAnsi"/>
          <w:lang w:val="en-GB"/>
        </w:rPr>
      </w:pPr>
      <w:r w:rsidRPr="00AC3C9B">
        <w:rPr>
          <w:rFonts w:asciiTheme="minorHAnsi" w:hAnsiTheme="minorHAnsi" w:cstheme="minorHAnsi"/>
          <w:b/>
          <w:bCs/>
          <w:lang w:val="en-GB"/>
        </w:rPr>
        <w:t>The use of unfair commercial practices</w:t>
      </w:r>
      <w:r w:rsidRPr="00AC3C9B">
        <w:rPr>
          <w:rFonts w:asciiTheme="minorHAnsi" w:hAnsiTheme="minorHAnsi" w:cstheme="minorHAnsi"/>
          <w:lang w:val="en-GB"/>
        </w:rPr>
        <w:t xml:space="preserve"> which may distort the consumer's economic behaviour and may lead the consumer to make purchasing decisions that they would not make otherwise (Sections 4, 5 and 5a of the Consumer Protection Act) </w:t>
      </w:r>
      <w:r w:rsidRPr="00AC3C9B">
        <w:rPr>
          <w:rFonts w:asciiTheme="minorHAnsi" w:hAnsiTheme="minorHAnsi" w:cstheme="minorHAnsi"/>
          <w:b/>
          <w:bCs/>
          <w:lang w:val="en-GB"/>
        </w:rPr>
        <w:t>was found in 207 cases in total</w:t>
      </w:r>
      <w:r w:rsidRPr="00AC3C9B">
        <w:rPr>
          <w:rFonts w:asciiTheme="minorHAnsi" w:hAnsiTheme="minorHAnsi" w:cstheme="minorHAnsi"/>
          <w:lang w:val="en-GB"/>
        </w:rPr>
        <w:t xml:space="preserve">. </w:t>
      </w:r>
    </w:p>
    <w:p w14:paraId="5768DFDC" w14:textId="77777777" w:rsidR="00AC3C9B" w:rsidRPr="00AC3C9B" w:rsidRDefault="00AC3C9B" w:rsidP="00AC3C9B">
      <w:pPr>
        <w:pStyle w:val="Normlnweb"/>
        <w:rPr>
          <w:rFonts w:asciiTheme="minorHAnsi" w:hAnsiTheme="minorHAnsi" w:cstheme="minorHAnsi"/>
          <w:lang w:val="en-GB"/>
        </w:rPr>
      </w:pPr>
      <w:r w:rsidRPr="00AC3C9B">
        <w:rPr>
          <w:rFonts w:asciiTheme="minorHAnsi" w:hAnsiTheme="minorHAnsi" w:cstheme="minorHAnsi"/>
          <w:b/>
          <w:bCs/>
          <w:lang w:val="en-GB"/>
        </w:rPr>
        <w:t>Breaches of other legal provisions within the CTIA's surveillance scope were found in 308 cases.</w:t>
      </w:r>
      <w:r w:rsidRPr="00AC3C9B">
        <w:rPr>
          <w:rFonts w:asciiTheme="minorHAnsi" w:hAnsiTheme="minorHAnsi" w:cstheme="minorHAnsi"/>
          <w:lang w:val="en-GB"/>
        </w:rPr>
        <w:t xml:space="preserve"> These included infringements of the Civil Code, the Act on Inspection, the Act on Technical Requirements for Products, etc. </w:t>
      </w:r>
    </w:p>
    <w:p w14:paraId="6D60E864" w14:textId="77777777" w:rsidR="00AC3C9B" w:rsidRPr="00AC3C9B" w:rsidRDefault="00AC3C9B" w:rsidP="00AC3C9B">
      <w:pPr>
        <w:pStyle w:val="Normlnweb"/>
        <w:rPr>
          <w:rFonts w:asciiTheme="minorHAnsi" w:hAnsiTheme="minorHAnsi" w:cstheme="minorHAnsi"/>
          <w:lang w:val="en-GB"/>
        </w:rPr>
      </w:pPr>
      <w:r w:rsidRPr="00AC3C9B">
        <w:rPr>
          <w:rFonts w:asciiTheme="minorHAnsi" w:hAnsiTheme="minorHAnsi" w:cstheme="minorHAnsi"/>
          <w:lang w:val="en-GB"/>
        </w:rPr>
        <w:lastRenderedPageBreak/>
        <w:t xml:space="preserve">Based on the violations of legal regulations within the surveillance scope of the Czech Trade Inspection Authority detected within the inspection action, </w:t>
      </w:r>
      <w:r w:rsidRPr="00AC3C9B">
        <w:rPr>
          <w:rFonts w:asciiTheme="minorHAnsi" w:hAnsiTheme="minorHAnsi" w:cstheme="minorHAnsi"/>
          <w:b/>
          <w:bCs/>
          <w:lang w:val="en-GB"/>
        </w:rPr>
        <w:t>a total of 385 fines in the total amount of CZK 17,561,500 came into force in the period from 1 January 2024 to 31 December 2024.</w:t>
      </w:r>
      <w:r w:rsidRPr="00AC3C9B">
        <w:rPr>
          <w:rFonts w:asciiTheme="minorHAnsi" w:hAnsiTheme="minorHAnsi" w:cstheme="minorHAnsi"/>
          <w:lang w:val="en-GB"/>
        </w:rPr>
        <w:t xml:space="preserve"> </w:t>
      </w:r>
    </w:p>
    <w:p w14:paraId="39C02CA1" w14:textId="77777777" w:rsidR="00AC3C9B" w:rsidRPr="00AC3C9B" w:rsidRDefault="00AC3C9B" w:rsidP="00AC3C9B">
      <w:pPr>
        <w:pStyle w:val="Normlnweb"/>
        <w:rPr>
          <w:rFonts w:asciiTheme="minorHAnsi" w:hAnsiTheme="minorHAnsi" w:cstheme="minorHAnsi"/>
          <w:lang w:val="en-GB"/>
        </w:rPr>
      </w:pPr>
      <w:r w:rsidRPr="00AC3C9B">
        <w:rPr>
          <w:rFonts w:asciiTheme="minorHAnsi" w:hAnsiTheme="minorHAnsi" w:cstheme="minorHAnsi"/>
          <w:lang w:val="en-GB"/>
        </w:rPr>
        <w:t xml:space="preserve">The aforementioned calculation has also included the results of </w:t>
      </w:r>
      <w:r w:rsidRPr="00AC3C9B">
        <w:rPr>
          <w:rFonts w:asciiTheme="minorHAnsi" w:hAnsiTheme="minorHAnsi" w:cstheme="minorHAnsi"/>
          <w:b/>
          <w:bCs/>
          <w:lang w:val="en-GB"/>
        </w:rPr>
        <w:t xml:space="preserve">two extraordinary inspection actions, </w:t>
      </w:r>
      <w:r w:rsidRPr="00AC3C9B">
        <w:rPr>
          <w:rFonts w:asciiTheme="minorHAnsi" w:hAnsiTheme="minorHAnsi" w:cstheme="minorHAnsi"/>
          <w:lang w:val="en-GB"/>
        </w:rPr>
        <w:t xml:space="preserve">carried out after the judgment of the Court of Justice of the European Union confirming that the discount must be derived from the lowest price at which the goods were sold in the last 30 days prior to their discounting, which were specifically aimed at controlling the provisions of Section 12a of the Consumer Protection Act, in particular the disclosure of information on the percentage discount on product prices. </w:t>
      </w:r>
      <w:r w:rsidRPr="00AC3C9B">
        <w:rPr>
          <w:rFonts w:asciiTheme="minorHAnsi" w:hAnsiTheme="minorHAnsi" w:cstheme="minorHAnsi"/>
          <w:b/>
          <w:bCs/>
          <w:lang w:val="en-GB"/>
        </w:rPr>
        <w:t>The first action</w:t>
      </w:r>
      <w:r w:rsidRPr="00AC3C9B">
        <w:rPr>
          <w:rFonts w:asciiTheme="minorHAnsi" w:hAnsiTheme="minorHAnsi" w:cstheme="minorHAnsi"/>
          <w:lang w:val="en-GB"/>
        </w:rPr>
        <w:t xml:space="preserve"> was aimed at </w:t>
      </w:r>
      <w:r w:rsidRPr="00AC3C9B">
        <w:rPr>
          <w:rFonts w:asciiTheme="minorHAnsi" w:hAnsiTheme="minorHAnsi" w:cstheme="minorHAnsi"/>
          <w:b/>
          <w:bCs/>
          <w:lang w:val="en-GB"/>
        </w:rPr>
        <w:t xml:space="preserve">chain stores and e-shops that repeatedly and intensively use discount campaigns and promotions with food, electric, drugstore, </w:t>
      </w:r>
      <w:proofErr w:type="gramStart"/>
      <w:r w:rsidRPr="00AC3C9B">
        <w:rPr>
          <w:rFonts w:asciiTheme="minorHAnsi" w:hAnsiTheme="minorHAnsi" w:cstheme="minorHAnsi"/>
          <w:b/>
          <w:bCs/>
          <w:lang w:val="en-GB"/>
        </w:rPr>
        <w:t>textile</w:t>
      </w:r>
      <w:proofErr w:type="gramEnd"/>
      <w:r w:rsidRPr="00AC3C9B">
        <w:rPr>
          <w:rFonts w:asciiTheme="minorHAnsi" w:hAnsiTheme="minorHAnsi" w:cstheme="minorHAnsi"/>
          <w:b/>
          <w:bCs/>
          <w:lang w:val="en-GB"/>
        </w:rPr>
        <w:t xml:space="preserve"> and cosmetics products</w:t>
      </w:r>
      <w:r w:rsidRPr="00AC3C9B">
        <w:rPr>
          <w:rFonts w:asciiTheme="minorHAnsi" w:hAnsiTheme="minorHAnsi" w:cstheme="minorHAnsi"/>
          <w:lang w:val="en-GB"/>
        </w:rPr>
        <w:t xml:space="preserve">. A total of 250 inspections were carried out between 14 October and 31 October within the extraordinary inspection action. Infringements of Section 12a of the Consumer Protection Act were found in 91 cases and violations of unfair commercial practices in relation to pricing were found in 37 cases. In the </w:t>
      </w:r>
      <w:r w:rsidRPr="00AC3C9B">
        <w:rPr>
          <w:rFonts w:asciiTheme="minorHAnsi" w:hAnsiTheme="minorHAnsi" w:cstheme="minorHAnsi"/>
          <w:b/>
          <w:bCs/>
          <w:lang w:val="en-GB"/>
        </w:rPr>
        <w:t xml:space="preserve">second </w:t>
      </w:r>
      <w:r w:rsidRPr="00AC3C9B">
        <w:rPr>
          <w:rFonts w:asciiTheme="minorHAnsi" w:hAnsiTheme="minorHAnsi" w:cstheme="minorHAnsi"/>
          <w:lang w:val="en-GB"/>
        </w:rPr>
        <w:t xml:space="preserve">extraordinary inspection </w:t>
      </w:r>
      <w:r w:rsidRPr="00AC3C9B">
        <w:rPr>
          <w:rFonts w:asciiTheme="minorHAnsi" w:hAnsiTheme="minorHAnsi" w:cstheme="minorHAnsi"/>
          <w:b/>
          <w:bCs/>
          <w:lang w:val="en-GB"/>
        </w:rPr>
        <w:t>action</w:t>
      </w:r>
      <w:r w:rsidRPr="00AC3C9B">
        <w:rPr>
          <w:rFonts w:asciiTheme="minorHAnsi" w:hAnsiTheme="minorHAnsi" w:cstheme="minorHAnsi"/>
          <w:lang w:val="en-GB"/>
        </w:rPr>
        <w:t xml:space="preserve">, which ran from 11 November to 6 December, the CTIA </w:t>
      </w:r>
      <w:r w:rsidRPr="00AC3C9B">
        <w:rPr>
          <w:rFonts w:asciiTheme="minorHAnsi" w:hAnsiTheme="minorHAnsi" w:cstheme="minorHAnsi"/>
          <w:b/>
          <w:bCs/>
          <w:lang w:val="en-GB"/>
        </w:rPr>
        <w:t>focused mainly on sales called "Black Friday" and "Cyber Monday" at non-food chains and online shops</w:t>
      </w:r>
      <w:r w:rsidRPr="00AC3C9B">
        <w:rPr>
          <w:rFonts w:asciiTheme="minorHAnsi" w:hAnsiTheme="minorHAnsi" w:cstheme="minorHAnsi"/>
          <w:lang w:val="en-GB"/>
        </w:rPr>
        <w:t>. A total of 172 inspections were carried out, of which 71 were found to be in breach of legislation. Infringements of Section 12a of the Act on Consumer Protection were found in 29 cases.</w:t>
      </w:r>
    </w:p>
    <w:p w14:paraId="1C7CF056" w14:textId="77777777" w:rsidR="00AC3C9B" w:rsidRPr="00AC3C9B" w:rsidRDefault="00AC3C9B" w:rsidP="00AC3C9B">
      <w:pPr>
        <w:pStyle w:val="Normlnweb"/>
        <w:rPr>
          <w:rFonts w:asciiTheme="minorHAnsi" w:hAnsiTheme="minorHAnsi" w:cstheme="minorHAnsi"/>
          <w:lang w:val="en-GB"/>
        </w:rPr>
      </w:pPr>
      <w:r w:rsidRPr="00AC3C9B">
        <w:rPr>
          <w:rFonts w:asciiTheme="minorHAnsi" w:hAnsiTheme="minorHAnsi" w:cstheme="minorHAnsi"/>
          <w:lang w:val="en-GB"/>
        </w:rPr>
        <w:t>As a marketing tool, discounts influence consumer behaviour and purchases-related decision-making. Despite repeated inspections, sellers still breach their legal obligations.</w:t>
      </w:r>
    </w:p>
    <w:p w14:paraId="001CD08A" w14:textId="218128FC" w:rsidR="00AC3C9B" w:rsidRPr="00AC3C9B" w:rsidRDefault="00AC3C9B" w:rsidP="00AC3C9B">
      <w:pPr>
        <w:pStyle w:val="Normlnweb"/>
        <w:rPr>
          <w:rFonts w:asciiTheme="minorHAnsi" w:hAnsiTheme="minorHAnsi" w:cstheme="minorHAnsi"/>
          <w:lang w:val="en-GB"/>
        </w:rPr>
      </w:pPr>
      <w:r w:rsidRPr="00AC3C9B">
        <w:rPr>
          <w:rFonts w:asciiTheme="minorHAnsi" w:hAnsiTheme="minorHAnsi" w:cstheme="minorHAnsi"/>
          <w:b/>
          <w:bCs/>
          <w:lang w:val="en-GB"/>
        </w:rPr>
        <w:t>An important milestone was the judgment of the Court of Justice of the European Union confirming that the discount must be derived from the lowest price at which the goods were sold in the 30 days prior to the discount.</w:t>
      </w:r>
      <w:r w:rsidRPr="00AC3C9B">
        <w:rPr>
          <w:rFonts w:asciiTheme="minorHAnsi" w:hAnsiTheme="minorHAnsi" w:cstheme="minorHAnsi"/>
          <w:lang w:val="en-GB"/>
        </w:rPr>
        <w:t xml:space="preserve"> </w:t>
      </w:r>
      <w:r w:rsidRPr="00AC3C9B">
        <w:rPr>
          <w:rFonts w:asciiTheme="minorHAnsi" w:hAnsiTheme="minorHAnsi" w:cstheme="minorHAnsi"/>
          <w:b/>
          <w:bCs/>
          <w:lang w:val="en-GB"/>
        </w:rPr>
        <w:t>This dispelled the last doubts about the interpretation of Article 6a(1) and (2) of Directive 98/6/EC of the European Parliament and of the Council on the protection of consumers in the indication of the prices of products offered to consumers, and the CTIA, although it had been interpreting this provision in accordance with the judgment of the CJEU since the legislation came into force, followed-up the ruling by carrying out two extraordinary inspection actions and significantly increasing the fines imposed for breaches of this obligation.</w:t>
      </w:r>
      <w:r w:rsidRPr="00AC3C9B">
        <w:rPr>
          <w:rFonts w:asciiTheme="minorHAnsi" w:hAnsiTheme="minorHAnsi" w:cstheme="minorHAnsi"/>
          <w:lang w:val="en-GB"/>
        </w:rPr>
        <w:t xml:space="preserve"> </w:t>
      </w:r>
      <w:r w:rsidRPr="00AC3C9B">
        <w:rPr>
          <w:rFonts w:asciiTheme="minorHAnsi" w:hAnsiTheme="minorHAnsi" w:cstheme="minorHAnsi"/>
          <w:b/>
          <w:bCs/>
          <w:lang w:val="en-GB"/>
        </w:rPr>
        <w:t>Fines imposed for the infringements detected during the extraordinary inspections exceeding CZK 20 million did not become lawful until 2025 and are therefore h</w:t>
      </w:r>
      <w:r>
        <w:rPr>
          <w:rFonts w:asciiTheme="minorHAnsi" w:hAnsiTheme="minorHAnsi" w:cstheme="minorHAnsi"/>
          <w:b/>
          <w:bCs/>
          <w:lang w:val="en-GB"/>
        </w:rPr>
        <w:t>a</w:t>
      </w:r>
      <w:r w:rsidRPr="00AC3C9B">
        <w:rPr>
          <w:rFonts w:asciiTheme="minorHAnsi" w:hAnsiTheme="minorHAnsi" w:cstheme="minorHAnsi"/>
          <w:b/>
          <w:bCs/>
          <w:lang w:val="en-GB"/>
        </w:rPr>
        <w:t>ve not been included in the list of final fines for 2024.</w:t>
      </w:r>
    </w:p>
    <w:p w14:paraId="6C78E192" w14:textId="77777777" w:rsidR="00AC3C9B" w:rsidRPr="00AC3C9B" w:rsidRDefault="00AC3C9B" w:rsidP="00AC3C9B">
      <w:pPr>
        <w:pStyle w:val="Normlnweb"/>
        <w:rPr>
          <w:rFonts w:asciiTheme="minorHAnsi" w:hAnsiTheme="minorHAnsi" w:cstheme="minorHAnsi"/>
          <w:lang w:val="en-GB"/>
        </w:rPr>
      </w:pPr>
      <w:r w:rsidRPr="00AC3C9B">
        <w:rPr>
          <w:rFonts w:asciiTheme="minorHAnsi" w:hAnsiTheme="minorHAnsi" w:cstheme="minorHAnsi"/>
          <w:lang w:val="en-GB"/>
        </w:rPr>
        <w:t>The CTIA will keep paying increased attention to the inspection of the sellers' compliance with the obligations when providing discounts on the prices of products in 2025.</w:t>
      </w:r>
    </w:p>
    <w:p w14:paraId="1BE7D3EA" w14:textId="77777777" w:rsidR="00656822" w:rsidRPr="00AC3C9B" w:rsidRDefault="00656822" w:rsidP="005923C5">
      <w:pPr>
        <w:spacing w:line="240" w:lineRule="auto"/>
        <w:rPr>
          <w:rFonts w:cstheme="minorHAnsi"/>
          <w:sz w:val="20"/>
          <w:szCs w:val="20"/>
          <w:u w:val="single"/>
          <w:lang w:val="en-GB"/>
        </w:rPr>
      </w:pPr>
    </w:p>
    <w:sectPr w:rsidR="00656822" w:rsidRPr="00AC3C9B" w:rsidSect="00663C7B">
      <w:headerReference w:type="default" r:id="rId9"/>
      <w:footerReference w:type="default" r:id="rId10"/>
      <w:pgSz w:w="11906" w:h="16838"/>
      <w:pgMar w:top="1134" w:right="1417" w:bottom="1701"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80247" w14:textId="77777777" w:rsidR="00640FCD" w:rsidRDefault="00640FCD" w:rsidP="00807D68">
      <w:pPr>
        <w:spacing w:after="0" w:line="240" w:lineRule="auto"/>
      </w:pPr>
      <w:r>
        <w:separator/>
      </w:r>
    </w:p>
  </w:endnote>
  <w:endnote w:type="continuationSeparator" w:id="0">
    <w:p w14:paraId="596B54DD" w14:textId="77777777" w:rsidR="00640FCD" w:rsidRDefault="00640FCD" w:rsidP="0080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86C9" w14:textId="77777777" w:rsidR="00AC3C9B" w:rsidRPr="000B3C18" w:rsidRDefault="00AC3C9B" w:rsidP="00AC3C9B">
    <w:pPr>
      <w:spacing w:line="276" w:lineRule="auto"/>
      <w:ind w:left="5664" w:firstLine="708"/>
      <w:rPr>
        <w:rFonts w:ascii="Arial" w:hAnsi="Arial" w:cs="Arial"/>
        <w:bCs/>
        <w:color w:val="2658A5"/>
        <w:sz w:val="18"/>
        <w:szCs w:val="18"/>
      </w:rPr>
    </w:pPr>
    <w:r w:rsidRPr="000B3C18">
      <w:rPr>
        <w:rFonts w:ascii="Arial" w:hAnsi="Arial" w:cs="Arial"/>
        <w:noProof/>
        <w:color w:val="2658A5"/>
        <w:sz w:val="18"/>
        <w:szCs w:val="18"/>
        <w:lang w:eastAsia="cs-CZ"/>
      </w:rPr>
      <mc:AlternateContent>
        <mc:Choice Requires="wps">
          <w:drawing>
            <wp:anchor distT="0" distB="0" distL="114300" distR="114300" simplePos="0" relativeHeight="251660288" behindDoc="1" locked="0" layoutInCell="1" allowOverlap="1" wp14:anchorId="03E89E45" wp14:editId="0E0C654E">
              <wp:simplePos x="0" y="0"/>
              <wp:positionH relativeFrom="column">
                <wp:posOffset>-108225</wp:posOffset>
              </wp:positionH>
              <wp:positionV relativeFrom="paragraph">
                <wp:posOffset>9914</wp:posOffset>
              </wp:positionV>
              <wp:extent cx="2190466" cy="1404620"/>
              <wp:effectExtent l="0" t="0" r="635"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466" cy="1404620"/>
                      </a:xfrm>
                      <a:prstGeom prst="rect">
                        <a:avLst/>
                      </a:prstGeom>
                      <a:solidFill>
                        <a:srgbClr val="FFFFFF"/>
                      </a:solidFill>
                      <a:ln w="9525">
                        <a:noFill/>
                        <a:miter lim="800000"/>
                        <a:headEnd/>
                        <a:tailEnd/>
                      </a:ln>
                    </wps:spPr>
                    <wps:txbx>
                      <w:txbxContent>
                        <w:p w14:paraId="33B9589F" w14:textId="77777777" w:rsidR="00AC3C9B" w:rsidRPr="001458E6" w:rsidRDefault="00AC3C9B" w:rsidP="00AC3C9B">
                          <w:pPr>
                            <w:rPr>
                              <w:rFonts w:ascii="Arial" w:hAnsi="Arial" w:cs="Arial"/>
                              <w:sz w:val="18"/>
                              <w:szCs w:val="18"/>
                            </w:rPr>
                          </w:pPr>
                          <w:proofErr w:type="spellStart"/>
                          <w:r w:rsidRPr="001458E6">
                            <w:rPr>
                              <w:rFonts w:ascii="Arial" w:hAnsi="Arial" w:cs="Arial"/>
                              <w:color w:val="2658A5"/>
                              <w:sz w:val="18"/>
                              <w:szCs w:val="18"/>
                            </w:rPr>
                            <w:t>Contact</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Spokesperson</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of</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the</w:t>
                          </w:r>
                          <w:proofErr w:type="spellEnd"/>
                          <w:r w:rsidRPr="001458E6">
                            <w:rPr>
                              <w:rFonts w:ascii="Arial" w:hAnsi="Arial" w:cs="Arial"/>
                              <w:color w:val="2658A5"/>
                              <w:sz w:val="18"/>
                              <w:szCs w:val="18"/>
                            </w:rPr>
                            <w:t xml:space="preserve"> CTIA</w:t>
                          </w:r>
                          <w:r w:rsidRPr="001458E6">
                            <w:rPr>
                              <w:rFonts w:ascii="Arial" w:hAnsi="Arial" w:cs="Arial"/>
                              <w:color w:val="2658A5"/>
                              <w:sz w:val="18"/>
                              <w:szCs w:val="18"/>
                            </w:rPr>
                            <w:br/>
                            <w:t>František Kotrba</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03E89E45" id="_x0000_t202" coordsize="21600,21600" o:spt="202" path="m,l,21600r21600,l21600,xe">
              <v:stroke joinstyle="miter"/>
              <v:path gradientshapeok="t" o:connecttype="rect"/>
            </v:shapetype>
            <v:shape id="Textové pole 2" o:spid="_x0000_s1026" type="#_x0000_t202" style="position:absolute;left:0;text-align:left;margin-left:-8.5pt;margin-top:.8pt;width:172.5pt;height:11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" stroked="f">
              <v:textbox style="mso-fit-shape-to-text:t">
                <w:txbxContent>
                  <w:p w14:paraId="33B9589F" w14:textId="77777777" w:rsidR="00AC3C9B" w:rsidRPr="001458E6" w:rsidRDefault="00AC3C9B" w:rsidP="00AC3C9B">
                    <w:pPr>
                      <w:rPr>
                        <w:rFonts w:ascii="Arial" w:hAnsi="Arial" w:cs="Arial"/>
                        <w:sz w:val="18"/>
                        <w:szCs w:val="18"/>
                      </w:rPr>
                    </w:pPr>
                    <w:proofErr w:type="spellStart"/>
                    <w:r w:rsidRPr="001458E6">
                      <w:rPr>
                        <w:rFonts w:ascii="Arial" w:hAnsi="Arial" w:cs="Arial"/>
                        <w:color w:val="2658A5"/>
                        <w:sz w:val="18"/>
                        <w:szCs w:val="18"/>
                      </w:rPr>
                      <w:t>Contact</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Spokesperson</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of</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the</w:t>
                    </w:r>
                    <w:proofErr w:type="spellEnd"/>
                    <w:r w:rsidRPr="001458E6">
                      <w:rPr>
                        <w:rFonts w:ascii="Arial" w:hAnsi="Arial" w:cs="Arial"/>
                        <w:color w:val="2658A5"/>
                        <w:sz w:val="18"/>
                        <w:szCs w:val="18"/>
                      </w:rPr>
                      <w:t xml:space="preserve"> CTIA</w:t>
                    </w:r>
                    <w:r w:rsidRPr="001458E6">
                      <w:rPr>
                        <w:rFonts w:ascii="Arial" w:hAnsi="Arial" w:cs="Arial"/>
                        <w:color w:val="2658A5"/>
                        <w:sz w:val="18"/>
                        <w:szCs w:val="18"/>
                      </w:rPr>
                      <w:br/>
                      <w:t>František Kotrba</w:t>
                    </w:r>
                  </w:p>
                </w:txbxContent>
              </v:textbox>
            </v:shape>
          </w:pict>
        </mc:Fallback>
      </mc:AlternateContent>
    </w:r>
    <w:r w:rsidRPr="000B3C18">
      <w:rPr>
        <w:rFonts w:ascii="Arial" w:hAnsi="Arial" w:cs="Arial"/>
        <w:noProof/>
        <w:color w:val="2658A5"/>
        <w:sz w:val="18"/>
        <w:szCs w:val="18"/>
        <w:lang w:eastAsia="cs-CZ"/>
      </w:rPr>
      <mc:AlternateContent>
        <mc:Choice Requires="wps">
          <w:drawing>
            <wp:anchor distT="0" distB="0" distL="114300" distR="114300" simplePos="0" relativeHeight="251659264" behindDoc="1" locked="0" layoutInCell="1" allowOverlap="1" wp14:anchorId="0C972992" wp14:editId="1E227D6A">
              <wp:simplePos x="0" y="0"/>
              <wp:positionH relativeFrom="column">
                <wp:posOffset>3472180</wp:posOffset>
              </wp:positionH>
              <wp:positionV relativeFrom="paragraph">
                <wp:posOffset>10160</wp:posOffset>
              </wp:positionV>
              <wp:extent cx="2361564" cy="653414"/>
              <wp:effectExtent l="0" t="0" r="127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4" cy="653414"/>
                      </a:xfrm>
                      <a:prstGeom prst="rect">
                        <a:avLst/>
                      </a:prstGeom>
                      <a:solidFill>
                        <a:srgbClr val="FFFFFF"/>
                      </a:solidFill>
                      <a:ln w="9525">
                        <a:noFill/>
                        <a:miter lim="800000"/>
                        <a:headEnd/>
                        <a:tailEnd/>
                      </a:ln>
                    </wps:spPr>
                    <wps:txbx>
                      <w:txbxContent>
                        <w:p w14:paraId="68899C3C" w14:textId="77777777" w:rsidR="00AC3C9B" w:rsidRPr="001458E6" w:rsidRDefault="00AC3C9B" w:rsidP="00AC3C9B">
                          <w:pPr>
                            <w:jc w:val="right"/>
                            <w:rPr>
                              <w:rFonts w:ascii="Arial" w:hAnsi="Arial" w:cs="Arial"/>
                              <w:sz w:val="18"/>
                              <w:szCs w:val="18"/>
                            </w:rPr>
                          </w:pPr>
                          <w:proofErr w:type="spellStart"/>
                          <w:r w:rsidRPr="001458E6">
                            <w:rPr>
                              <w:rFonts w:ascii="Arial" w:hAnsi="Arial" w:cs="Arial"/>
                              <w:bCs/>
                              <w:color w:val="2658A5"/>
                              <w:sz w:val="18"/>
                              <w:szCs w:val="18"/>
                            </w:rPr>
                            <w:t>Phone</w:t>
                          </w:r>
                          <w:proofErr w:type="spellEnd"/>
                          <w:r w:rsidRPr="001458E6">
                            <w:rPr>
                              <w:rFonts w:ascii="Arial" w:hAnsi="Arial" w:cs="Arial"/>
                              <w:bCs/>
                              <w:color w:val="2658A5"/>
                              <w:sz w:val="18"/>
                              <w:szCs w:val="18"/>
                            </w:rPr>
                            <w:t>: +420 296 366 233</w:t>
                          </w:r>
                          <w:r w:rsidRPr="001458E6">
                            <w:rPr>
                              <w:rFonts w:ascii="Arial" w:hAnsi="Arial" w:cs="Arial"/>
                              <w:bCs/>
                              <w:color w:val="2658A5"/>
                              <w:sz w:val="18"/>
                              <w:szCs w:val="18"/>
                            </w:rPr>
                            <w:br/>
                            <w:t>Mobile: +420 731 553 732</w:t>
                          </w:r>
                          <w:r w:rsidRPr="001458E6">
                            <w:rPr>
                              <w:rFonts w:ascii="Arial" w:hAnsi="Arial" w:cs="Arial"/>
                              <w:bCs/>
                              <w:color w:val="2658A5"/>
                              <w:sz w:val="18"/>
                              <w:szCs w:val="18"/>
                            </w:rPr>
                            <w:br/>
                            <w:t>E-mail: mluvci</w:t>
                          </w:r>
                          <w:r w:rsidRPr="00806526">
                            <w:rPr>
                              <w:rFonts w:ascii="Arial" w:hAnsi="Arial" w:cs="Arial"/>
                              <w:bCs/>
                              <w:color w:val="2658A5"/>
                              <w:sz w:val="18"/>
                              <w:szCs w:val="18"/>
                              <w:lang w:val="en-US"/>
                            </w:rPr>
                            <w:t>@coi.gov.cz</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0C972992" id="_x0000_s1027" type="#_x0000_t202" style="position:absolute;left:0;text-align:left;margin-left:273.4pt;margin-top:.8pt;width:185.95pt;height:5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" stroked="f">
              <v:textbox style="mso-fit-shape-to-text:t">
                <w:txbxContent>
                  <w:p w14:paraId="68899C3C" w14:textId="77777777" w:rsidR="00AC3C9B" w:rsidRPr="001458E6" w:rsidRDefault="00AC3C9B" w:rsidP="00AC3C9B">
                    <w:pPr>
                      <w:jc w:val="right"/>
                      <w:rPr>
                        <w:rFonts w:ascii="Arial" w:hAnsi="Arial" w:cs="Arial"/>
                        <w:sz w:val="18"/>
                        <w:szCs w:val="18"/>
                      </w:rPr>
                    </w:pPr>
                    <w:proofErr w:type="spellStart"/>
                    <w:r w:rsidRPr="001458E6">
                      <w:rPr>
                        <w:rFonts w:ascii="Arial" w:hAnsi="Arial" w:cs="Arial"/>
                        <w:bCs/>
                        <w:color w:val="2658A5"/>
                        <w:sz w:val="18"/>
                        <w:szCs w:val="18"/>
                      </w:rPr>
                      <w:t>Phone</w:t>
                    </w:r>
                    <w:proofErr w:type="spellEnd"/>
                    <w:r w:rsidRPr="001458E6">
                      <w:rPr>
                        <w:rFonts w:ascii="Arial" w:hAnsi="Arial" w:cs="Arial"/>
                        <w:bCs/>
                        <w:color w:val="2658A5"/>
                        <w:sz w:val="18"/>
                        <w:szCs w:val="18"/>
                      </w:rPr>
                      <w:t>: +420 296 366 233</w:t>
                    </w:r>
                    <w:r w:rsidRPr="001458E6">
                      <w:rPr>
                        <w:rFonts w:ascii="Arial" w:hAnsi="Arial" w:cs="Arial"/>
                        <w:bCs/>
                        <w:color w:val="2658A5"/>
                        <w:sz w:val="18"/>
                        <w:szCs w:val="18"/>
                      </w:rPr>
                      <w:br/>
                      <w:t>Mobile: +420 731 553 732</w:t>
                    </w:r>
                    <w:r w:rsidRPr="001458E6">
                      <w:rPr>
                        <w:rFonts w:ascii="Arial" w:hAnsi="Arial" w:cs="Arial"/>
                        <w:bCs/>
                        <w:color w:val="2658A5"/>
                        <w:sz w:val="18"/>
                        <w:szCs w:val="18"/>
                      </w:rPr>
                      <w:br/>
                      <w:t>E-mail: mluvci</w:t>
                    </w:r>
                    <w:r w:rsidRPr="00806526">
                      <w:rPr>
                        <w:rFonts w:ascii="Arial" w:hAnsi="Arial" w:cs="Arial"/>
                        <w:bCs/>
                        <w:color w:val="2658A5"/>
                        <w:sz w:val="18"/>
                        <w:szCs w:val="18"/>
                        <w:lang w:val="en-US"/>
                      </w:rPr>
                      <w:t>@coi.gov.cz</w:t>
                    </w:r>
                  </w:p>
                </w:txbxContent>
              </v:textbox>
            </v:shape>
          </w:pict>
        </mc:Fallback>
      </mc:AlternateContent>
    </w:r>
  </w:p>
  <w:p w14:paraId="2E86EAD4" w14:textId="77777777" w:rsidR="00F34A6A" w:rsidRPr="00AC3C9B" w:rsidRDefault="00F34A6A" w:rsidP="00AC3C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EC454" w14:textId="77777777" w:rsidR="00640FCD" w:rsidRDefault="00640FCD" w:rsidP="00807D68">
      <w:pPr>
        <w:spacing w:after="0" w:line="240" w:lineRule="auto"/>
      </w:pPr>
      <w:r>
        <w:separator/>
      </w:r>
    </w:p>
  </w:footnote>
  <w:footnote w:type="continuationSeparator" w:id="0">
    <w:p w14:paraId="1134D5FB" w14:textId="77777777" w:rsidR="00640FCD" w:rsidRDefault="00640FCD" w:rsidP="00807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F505" w14:textId="77777777" w:rsidR="00807D68" w:rsidRDefault="00807D68">
    <w:pPr>
      <w:pStyle w:val="Zhlav"/>
    </w:pPr>
  </w:p>
  <w:p w14:paraId="03206D20" w14:textId="77777777" w:rsidR="00807D68" w:rsidRDefault="00807D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5DF6"/>
    <w:multiLevelType w:val="hybridMultilevel"/>
    <w:tmpl w:val="FA3A331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8FB158A"/>
    <w:multiLevelType w:val="hybridMultilevel"/>
    <w:tmpl w:val="E362D29E"/>
    <w:lvl w:ilvl="0" w:tplc="90184EF8">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2" w15:restartNumberingAfterBreak="0">
    <w:nsid w:val="1CD43469"/>
    <w:multiLevelType w:val="hybridMultilevel"/>
    <w:tmpl w:val="79FE67E8"/>
    <w:lvl w:ilvl="0" w:tplc="CA5831C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8771E44"/>
    <w:multiLevelType w:val="hybridMultilevel"/>
    <w:tmpl w:val="86C49B60"/>
    <w:lvl w:ilvl="0" w:tplc="352E771C">
      <w:start w:val="1"/>
      <w:numFmt w:val="lowerLetter"/>
      <w:lvlText w:val="%1)"/>
      <w:lvlJc w:val="left"/>
      <w:pPr>
        <w:ind w:left="345" w:hanging="360"/>
      </w:pPr>
      <w:rPr>
        <w:rFonts w:ascii="Arial" w:eastAsiaTheme="minorHAnsi" w:hAnsi="Arial" w:cs="Arial"/>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4" w15:restartNumberingAfterBreak="0">
    <w:nsid w:val="2988097F"/>
    <w:multiLevelType w:val="hybridMultilevel"/>
    <w:tmpl w:val="DF9AB0D8"/>
    <w:lvl w:ilvl="0" w:tplc="066234B2">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5" w15:restartNumberingAfterBreak="0">
    <w:nsid w:val="3F5A1D76"/>
    <w:multiLevelType w:val="hybridMultilevel"/>
    <w:tmpl w:val="9BCA0DBC"/>
    <w:lvl w:ilvl="0" w:tplc="66261D70">
      <w:start w:val="1"/>
      <w:numFmt w:val="bullet"/>
      <w:lvlText w:val="-"/>
      <w:lvlJc w:val="left"/>
      <w:pPr>
        <w:ind w:left="345" w:hanging="360"/>
      </w:pPr>
      <w:rPr>
        <w:rFonts w:ascii="Arial" w:eastAsiaTheme="minorHAnsi" w:hAnsi="Arial" w:cs="Arial" w:hint="default"/>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6" w15:restartNumberingAfterBreak="0">
    <w:nsid w:val="46882194"/>
    <w:multiLevelType w:val="hybridMultilevel"/>
    <w:tmpl w:val="09B49B16"/>
    <w:lvl w:ilvl="0" w:tplc="3F306272">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7" w15:restartNumberingAfterBreak="0">
    <w:nsid w:val="58E46094"/>
    <w:multiLevelType w:val="hybridMultilevel"/>
    <w:tmpl w:val="0666F1F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Courier New"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Courier New"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Courier New" w:hint="default"/>
      </w:rPr>
    </w:lvl>
    <w:lvl w:ilvl="8" w:tplc="04050005">
      <w:start w:val="1"/>
      <w:numFmt w:val="bullet"/>
      <w:lvlText w:val=""/>
      <w:lvlJc w:val="left"/>
      <w:pPr>
        <w:ind w:left="6481" w:hanging="360"/>
      </w:pPr>
      <w:rPr>
        <w:rFonts w:ascii="Wingdings" w:hAnsi="Wingdings" w:hint="default"/>
      </w:rPr>
    </w:lvl>
  </w:abstractNum>
  <w:abstractNum w:abstractNumId="8" w15:restartNumberingAfterBreak="0">
    <w:nsid w:val="69BC2EA4"/>
    <w:multiLevelType w:val="hybridMultilevel"/>
    <w:tmpl w:val="1D1C3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A004778"/>
    <w:multiLevelType w:val="hybridMultilevel"/>
    <w:tmpl w:val="F41A51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6A395D18"/>
    <w:multiLevelType w:val="hybridMultilevel"/>
    <w:tmpl w:val="C9160142"/>
    <w:lvl w:ilvl="0" w:tplc="90F21DCE">
      <w:start w:val="1"/>
      <w:numFmt w:val="lowerLetter"/>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1" w15:restartNumberingAfterBreak="0">
    <w:nsid w:val="6EE815A3"/>
    <w:multiLevelType w:val="hybridMultilevel"/>
    <w:tmpl w:val="F81CF32C"/>
    <w:lvl w:ilvl="0" w:tplc="65A26D1A">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96707785">
    <w:abstractNumId w:val="0"/>
  </w:num>
  <w:num w:numId="2" w16cid:durableId="765347710">
    <w:abstractNumId w:val="8"/>
  </w:num>
  <w:num w:numId="3" w16cid:durableId="636105720">
    <w:abstractNumId w:val="3"/>
  </w:num>
  <w:num w:numId="4" w16cid:durableId="1034692696">
    <w:abstractNumId w:val="10"/>
  </w:num>
  <w:num w:numId="5" w16cid:durableId="1423188473">
    <w:abstractNumId w:val="11"/>
  </w:num>
  <w:num w:numId="6" w16cid:durableId="19549750">
    <w:abstractNumId w:val="5"/>
  </w:num>
  <w:num w:numId="7" w16cid:durableId="555819742">
    <w:abstractNumId w:val="4"/>
  </w:num>
  <w:num w:numId="8" w16cid:durableId="2043548523">
    <w:abstractNumId w:val="1"/>
  </w:num>
  <w:num w:numId="9" w16cid:durableId="695546929">
    <w:abstractNumId w:val="6"/>
  </w:num>
  <w:num w:numId="10" w16cid:durableId="991525820">
    <w:abstractNumId w:val="2"/>
  </w:num>
  <w:num w:numId="11" w16cid:durableId="1790123355">
    <w:abstractNumId w:val="7"/>
  </w:num>
  <w:num w:numId="12" w16cid:durableId="1352242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CF"/>
    <w:rsid w:val="00007B29"/>
    <w:rsid w:val="00045AD0"/>
    <w:rsid w:val="00056E6A"/>
    <w:rsid w:val="000741E3"/>
    <w:rsid w:val="0009503C"/>
    <w:rsid w:val="000B3C18"/>
    <w:rsid w:val="000B3ECB"/>
    <w:rsid w:val="000E2C64"/>
    <w:rsid w:val="0010721B"/>
    <w:rsid w:val="00142850"/>
    <w:rsid w:val="00143E7B"/>
    <w:rsid w:val="001472E1"/>
    <w:rsid w:val="00152827"/>
    <w:rsid w:val="00162432"/>
    <w:rsid w:val="00167F18"/>
    <w:rsid w:val="00175775"/>
    <w:rsid w:val="00192BDE"/>
    <w:rsid w:val="001C26F7"/>
    <w:rsid w:val="001C38DE"/>
    <w:rsid w:val="001D0E07"/>
    <w:rsid w:val="001D158E"/>
    <w:rsid w:val="001D5235"/>
    <w:rsid w:val="001E6864"/>
    <w:rsid w:val="002012CC"/>
    <w:rsid w:val="00225F02"/>
    <w:rsid w:val="0026408B"/>
    <w:rsid w:val="002726E7"/>
    <w:rsid w:val="00273118"/>
    <w:rsid w:val="0027431F"/>
    <w:rsid w:val="002B7C92"/>
    <w:rsid w:val="002C050A"/>
    <w:rsid w:val="002C2749"/>
    <w:rsid w:val="002F20E5"/>
    <w:rsid w:val="00314DCA"/>
    <w:rsid w:val="00320321"/>
    <w:rsid w:val="003316B0"/>
    <w:rsid w:val="00331CA6"/>
    <w:rsid w:val="00332038"/>
    <w:rsid w:val="00347084"/>
    <w:rsid w:val="00350179"/>
    <w:rsid w:val="00351811"/>
    <w:rsid w:val="00361995"/>
    <w:rsid w:val="00363379"/>
    <w:rsid w:val="00373649"/>
    <w:rsid w:val="0037728A"/>
    <w:rsid w:val="003E3B85"/>
    <w:rsid w:val="003F2528"/>
    <w:rsid w:val="00432A70"/>
    <w:rsid w:val="0043419B"/>
    <w:rsid w:val="0046373B"/>
    <w:rsid w:val="00493D8C"/>
    <w:rsid w:val="00494ACB"/>
    <w:rsid w:val="00495788"/>
    <w:rsid w:val="0049637D"/>
    <w:rsid w:val="004F3AA9"/>
    <w:rsid w:val="00526090"/>
    <w:rsid w:val="00541FB6"/>
    <w:rsid w:val="005545CE"/>
    <w:rsid w:val="005702A5"/>
    <w:rsid w:val="00572CFD"/>
    <w:rsid w:val="00574953"/>
    <w:rsid w:val="00577B57"/>
    <w:rsid w:val="005837B9"/>
    <w:rsid w:val="005923C5"/>
    <w:rsid w:val="00592C1D"/>
    <w:rsid w:val="005A0FA4"/>
    <w:rsid w:val="005A3A49"/>
    <w:rsid w:val="005B2A55"/>
    <w:rsid w:val="005B408C"/>
    <w:rsid w:val="005C435F"/>
    <w:rsid w:val="005D105B"/>
    <w:rsid w:val="005E3D23"/>
    <w:rsid w:val="005E3D51"/>
    <w:rsid w:val="005F0256"/>
    <w:rsid w:val="005F540D"/>
    <w:rsid w:val="005F776A"/>
    <w:rsid w:val="005F7F53"/>
    <w:rsid w:val="00600999"/>
    <w:rsid w:val="0060731F"/>
    <w:rsid w:val="0061127C"/>
    <w:rsid w:val="00640FCD"/>
    <w:rsid w:val="00653A86"/>
    <w:rsid w:val="00656822"/>
    <w:rsid w:val="00663C7B"/>
    <w:rsid w:val="00681DA5"/>
    <w:rsid w:val="006D428D"/>
    <w:rsid w:val="006E3BFD"/>
    <w:rsid w:val="006F6413"/>
    <w:rsid w:val="0070124B"/>
    <w:rsid w:val="0073117A"/>
    <w:rsid w:val="00735C36"/>
    <w:rsid w:val="0074340E"/>
    <w:rsid w:val="00752488"/>
    <w:rsid w:val="0075374E"/>
    <w:rsid w:val="00771930"/>
    <w:rsid w:val="00787B23"/>
    <w:rsid w:val="007C3195"/>
    <w:rsid w:val="007C40CF"/>
    <w:rsid w:val="007E237F"/>
    <w:rsid w:val="007E4F0B"/>
    <w:rsid w:val="008078D2"/>
    <w:rsid w:val="00807D68"/>
    <w:rsid w:val="00820008"/>
    <w:rsid w:val="00820628"/>
    <w:rsid w:val="0084569F"/>
    <w:rsid w:val="00862CB6"/>
    <w:rsid w:val="008632A4"/>
    <w:rsid w:val="00867DDD"/>
    <w:rsid w:val="00867FE0"/>
    <w:rsid w:val="008764A5"/>
    <w:rsid w:val="00885497"/>
    <w:rsid w:val="00890135"/>
    <w:rsid w:val="0089254F"/>
    <w:rsid w:val="008D0EB8"/>
    <w:rsid w:val="008F22C0"/>
    <w:rsid w:val="0090767D"/>
    <w:rsid w:val="00917CF5"/>
    <w:rsid w:val="0092339C"/>
    <w:rsid w:val="009266E9"/>
    <w:rsid w:val="009418B2"/>
    <w:rsid w:val="00955DA0"/>
    <w:rsid w:val="00963E3E"/>
    <w:rsid w:val="0097002E"/>
    <w:rsid w:val="00970F06"/>
    <w:rsid w:val="00971704"/>
    <w:rsid w:val="00972523"/>
    <w:rsid w:val="0098033A"/>
    <w:rsid w:val="00987BA8"/>
    <w:rsid w:val="00994318"/>
    <w:rsid w:val="009A419B"/>
    <w:rsid w:val="009C191D"/>
    <w:rsid w:val="009E32D6"/>
    <w:rsid w:val="009F2D9C"/>
    <w:rsid w:val="009F4279"/>
    <w:rsid w:val="00A04DA8"/>
    <w:rsid w:val="00A13513"/>
    <w:rsid w:val="00A161BD"/>
    <w:rsid w:val="00A36B0E"/>
    <w:rsid w:val="00A51854"/>
    <w:rsid w:val="00A54485"/>
    <w:rsid w:val="00A57931"/>
    <w:rsid w:val="00A64DC1"/>
    <w:rsid w:val="00A66848"/>
    <w:rsid w:val="00A81783"/>
    <w:rsid w:val="00A93B4E"/>
    <w:rsid w:val="00A95A44"/>
    <w:rsid w:val="00AC3C9B"/>
    <w:rsid w:val="00AD2EE9"/>
    <w:rsid w:val="00AF5C19"/>
    <w:rsid w:val="00B0403D"/>
    <w:rsid w:val="00B04C40"/>
    <w:rsid w:val="00B05C63"/>
    <w:rsid w:val="00B205BA"/>
    <w:rsid w:val="00B20F24"/>
    <w:rsid w:val="00B35984"/>
    <w:rsid w:val="00B40171"/>
    <w:rsid w:val="00B44F4B"/>
    <w:rsid w:val="00B473BD"/>
    <w:rsid w:val="00B553B1"/>
    <w:rsid w:val="00B97A9C"/>
    <w:rsid w:val="00BD02A1"/>
    <w:rsid w:val="00BE29F2"/>
    <w:rsid w:val="00BF40BB"/>
    <w:rsid w:val="00BF5CA1"/>
    <w:rsid w:val="00C16A3B"/>
    <w:rsid w:val="00C241B4"/>
    <w:rsid w:val="00C41758"/>
    <w:rsid w:val="00C43D14"/>
    <w:rsid w:val="00C4704F"/>
    <w:rsid w:val="00C72655"/>
    <w:rsid w:val="00C85899"/>
    <w:rsid w:val="00C92240"/>
    <w:rsid w:val="00C937E8"/>
    <w:rsid w:val="00C955AA"/>
    <w:rsid w:val="00C9701C"/>
    <w:rsid w:val="00C97D46"/>
    <w:rsid w:val="00CD11D7"/>
    <w:rsid w:val="00CE40CA"/>
    <w:rsid w:val="00CE7269"/>
    <w:rsid w:val="00CF6F01"/>
    <w:rsid w:val="00D00046"/>
    <w:rsid w:val="00D100A7"/>
    <w:rsid w:val="00D2107A"/>
    <w:rsid w:val="00D230ED"/>
    <w:rsid w:val="00D329DD"/>
    <w:rsid w:val="00D33380"/>
    <w:rsid w:val="00D54C32"/>
    <w:rsid w:val="00D66CD2"/>
    <w:rsid w:val="00D763A0"/>
    <w:rsid w:val="00D806B7"/>
    <w:rsid w:val="00D82F55"/>
    <w:rsid w:val="00D8316C"/>
    <w:rsid w:val="00D966A5"/>
    <w:rsid w:val="00DB2730"/>
    <w:rsid w:val="00DC5B7E"/>
    <w:rsid w:val="00E01D17"/>
    <w:rsid w:val="00E17BF0"/>
    <w:rsid w:val="00E27FB5"/>
    <w:rsid w:val="00E53779"/>
    <w:rsid w:val="00E561BC"/>
    <w:rsid w:val="00E64BC8"/>
    <w:rsid w:val="00E90D9C"/>
    <w:rsid w:val="00EA1C2C"/>
    <w:rsid w:val="00EA1D75"/>
    <w:rsid w:val="00EA39B4"/>
    <w:rsid w:val="00EB6C69"/>
    <w:rsid w:val="00ED4CDF"/>
    <w:rsid w:val="00EF3E1F"/>
    <w:rsid w:val="00EF59B9"/>
    <w:rsid w:val="00F168AF"/>
    <w:rsid w:val="00F34A6A"/>
    <w:rsid w:val="00F4039A"/>
    <w:rsid w:val="00F44180"/>
    <w:rsid w:val="00F4644A"/>
    <w:rsid w:val="00F50FE8"/>
    <w:rsid w:val="00F51690"/>
    <w:rsid w:val="00F53C17"/>
    <w:rsid w:val="00F55D33"/>
    <w:rsid w:val="00F70689"/>
    <w:rsid w:val="00F70880"/>
    <w:rsid w:val="00FB39B8"/>
    <w:rsid w:val="00FB65AE"/>
    <w:rsid w:val="00FD0861"/>
    <w:rsid w:val="00FD18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64AC"/>
  <w15:chartTrackingRefBased/>
  <w15:docId w15:val="{A6B7E4F7-B832-45EB-B1F5-D1FAA85C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07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7D68"/>
  </w:style>
  <w:style w:type="paragraph" w:styleId="Zpat">
    <w:name w:val="footer"/>
    <w:basedOn w:val="Normln"/>
    <w:link w:val="ZpatChar"/>
    <w:uiPriority w:val="99"/>
    <w:unhideWhenUsed/>
    <w:rsid w:val="00807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807D68"/>
  </w:style>
  <w:style w:type="table" w:styleId="Mkatabulky">
    <w:name w:val="Table Grid"/>
    <w:basedOn w:val="Normlntabulka"/>
    <w:uiPriority w:val="39"/>
    <w:rsid w:val="00B44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C1D"/>
    <w:pPr>
      <w:autoSpaceDE w:val="0"/>
      <w:autoSpaceDN w:val="0"/>
      <w:adjustRightInd w:val="0"/>
      <w:spacing w:after="0" w:line="240" w:lineRule="auto"/>
    </w:pPr>
    <w:rPr>
      <w:rFonts w:ascii="Arial" w:eastAsia="Calibri" w:hAnsi="Arial" w:cs="Arial"/>
      <w:color w:val="000000"/>
      <w:sz w:val="24"/>
      <w:szCs w:val="24"/>
    </w:rPr>
  </w:style>
  <w:style w:type="paragraph" w:styleId="Odstavecseseznamem">
    <w:name w:val="List Paragraph"/>
    <w:basedOn w:val="Normln"/>
    <w:uiPriority w:val="34"/>
    <w:qFormat/>
    <w:rsid w:val="00F53C17"/>
    <w:pPr>
      <w:spacing w:after="200" w:line="276" w:lineRule="auto"/>
      <w:ind w:left="720"/>
      <w:contextualSpacing/>
    </w:pPr>
    <w:rPr>
      <w:rFonts w:ascii="Calibri" w:eastAsia="Calibri" w:hAnsi="Calibri" w:cs="Times New Roman"/>
    </w:rPr>
  </w:style>
  <w:style w:type="paragraph" w:styleId="Bezmezer">
    <w:name w:val="No Spacing"/>
    <w:link w:val="BezmezerChar"/>
    <w:uiPriority w:val="1"/>
    <w:qFormat/>
    <w:rsid w:val="006D428D"/>
    <w:pPr>
      <w:spacing w:after="0" w:line="240" w:lineRule="auto"/>
    </w:pPr>
    <w:rPr>
      <w:rFonts w:ascii="Times New Roman" w:eastAsia="Times New Roman" w:hAnsi="Times New Roman" w:cs="Times New Roman"/>
      <w:sz w:val="24"/>
      <w:szCs w:val="24"/>
      <w:lang w:eastAsia="cs-CZ"/>
    </w:rPr>
  </w:style>
  <w:style w:type="character" w:customStyle="1" w:styleId="BezmezerChar">
    <w:name w:val="Bez mezer Char"/>
    <w:link w:val="Bezmezer"/>
    <w:uiPriority w:val="1"/>
    <w:locked/>
    <w:rsid w:val="006D428D"/>
    <w:rPr>
      <w:rFonts w:ascii="Times New Roman" w:eastAsia="Times New Roman" w:hAnsi="Times New Roman" w:cs="Times New Roman"/>
      <w:sz w:val="24"/>
      <w:szCs w:val="24"/>
      <w:lang w:eastAsia="cs-CZ"/>
    </w:rPr>
  </w:style>
  <w:style w:type="paragraph" w:styleId="Revize">
    <w:name w:val="Revision"/>
    <w:hidden/>
    <w:uiPriority w:val="99"/>
    <w:semiHidden/>
    <w:rsid w:val="00574953"/>
    <w:pPr>
      <w:spacing w:after="0" w:line="240" w:lineRule="auto"/>
    </w:pPr>
  </w:style>
  <w:style w:type="paragraph" w:styleId="Prosttext">
    <w:name w:val="Plain Text"/>
    <w:basedOn w:val="Normln"/>
    <w:link w:val="ProsttextChar"/>
    <w:uiPriority w:val="99"/>
    <w:unhideWhenUsed/>
    <w:rsid w:val="00FD185E"/>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uiPriority w:val="99"/>
    <w:rsid w:val="00FD185E"/>
    <w:rPr>
      <w:rFonts w:ascii="Calibri" w:eastAsia="Calibri" w:hAnsi="Calibri" w:cs="Times New Roman"/>
      <w:szCs w:val="21"/>
    </w:rPr>
  </w:style>
  <w:style w:type="character" w:styleId="Odkaznakoment">
    <w:name w:val="annotation reference"/>
    <w:basedOn w:val="Standardnpsmoodstavce"/>
    <w:uiPriority w:val="99"/>
    <w:semiHidden/>
    <w:unhideWhenUsed/>
    <w:rsid w:val="009A419B"/>
    <w:rPr>
      <w:sz w:val="16"/>
      <w:szCs w:val="16"/>
    </w:rPr>
  </w:style>
  <w:style w:type="paragraph" w:styleId="Textkomente">
    <w:name w:val="annotation text"/>
    <w:basedOn w:val="Normln"/>
    <w:link w:val="TextkomenteChar"/>
    <w:uiPriority w:val="99"/>
    <w:semiHidden/>
    <w:unhideWhenUsed/>
    <w:rsid w:val="009A419B"/>
    <w:pPr>
      <w:spacing w:line="240" w:lineRule="auto"/>
    </w:pPr>
    <w:rPr>
      <w:sz w:val="20"/>
      <w:szCs w:val="20"/>
    </w:rPr>
  </w:style>
  <w:style w:type="character" w:customStyle="1" w:styleId="TextkomenteChar">
    <w:name w:val="Text komentáře Char"/>
    <w:basedOn w:val="Standardnpsmoodstavce"/>
    <w:link w:val="Textkomente"/>
    <w:uiPriority w:val="99"/>
    <w:semiHidden/>
    <w:rsid w:val="009A419B"/>
    <w:rPr>
      <w:sz w:val="20"/>
      <w:szCs w:val="20"/>
    </w:rPr>
  </w:style>
  <w:style w:type="paragraph" w:styleId="Pedmtkomente">
    <w:name w:val="annotation subject"/>
    <w:basedOn w:val="Textkomente"/>
    <w:next w:val="Textkomente"/>
    <w:link w:val="PedmtkomenteChar"/>
    <w:uiPriority w:val="99"/>
    <w:semiHidden/>
    <w:unhideWhenUsed/>
    <w:rsid w:val="009A419B"/>
    <w:rPr>
      <w:b/>
      <w:bCs/>
    </w:rPr>
  </w:style>
  <w:style w:type="character" w:customStyle="1" w:styleId="PedmtkomenteChar">
    <w:name w:val="Předmět komentáře Char"/>
    <w:basedOn w:val="TextkomenteChar"/>
    <w:link w:val="Pedmtkomente"/>
    <w:uiPriority w:val="99"/>
    <w:semiHidden/>
    <w:rsid w:val="009A419B"/>
    <w:rPr>
      <w:b/>
      <w:bCs/>
      <w:sz w:val="20"/>
      <w:szCs w:val="20"/>
    </w:rPr>
  </w:style>
  <w:style w:type="paragraph" w:styleId="Normlnweb">
    <w:name w:val="Normal (Web)"/>
    <w:basedOn w:val="Normln"/>
    <w:uiPriority w:val="99"/>
    <w:semiHidden/>
    <w:unhideWhenUsed/>
    <w:rsid w:val="00AC3C9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702167">
      <w:bodyDiv w:val="1"/>
      <w:marLeft w:val="0"/>
      <w:marRight w:val="0"/>
      <w:marTop w:val="0"/>
      <w:marBottom w:val="0"/>
      <w:divBdr>
        <w:top w:val="none" w:sz="0" w:space="0" w:color="auto"/>
        <w:left w:val="none" w:sz="0" w:space="0" w:color="auto"/>
        <w:bottom w:val="none" w:sz="0" w:space="0" w:color="auto"/>
        <w:right w:val="none" w:sz="0" w:space="0" w:color="auto"/>
      </w:divBdr>
    </w:div>
    <w:div w:id="1494761783">
      <w:bodyDiv w:val="1"/>
      <w:marLeft w:val="0"/>
      <w:marRight w:val="0"/>
      <w:marTop w:val="0"/>
      <w:marBottom w:val="0"/>
      <w:divBdr>
        <w:top w:val="none" w:sz="0" w:space="0" w:color="auto"/>
        <w:left w:val="none" w:sz="0" w:space="0" w:color="auto"/>
        <w:bottom w:val="none" w:sz="0" w:space="0" w:color="auto"/>
        <w:right w:val="none" w:sz="0" w:space="0" w:color="auto"/>
      </w:divBdr>
    </w:div>
    <w:div w:id="200554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1FEE7-98A3-4788-B967-47E16946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Pages>
  <Words>829</Words>
  <Characters>4894</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Klimecká Ester, Mgr. Bc.</dc:creator>
  <cp:keywords/>
  <dc:description/>
  <cp:lastModifiedBy>Tichota Ondřej, Mgr., DiS.</cp:lastModifiedBy>
  <cp:revision>21</cp:revision>
  <cp:lastPrinted>2025-04-03T06:56:00Z</cp:lastPrinted>
  <dcterms:created xsi:type="dcterms:W3CDTF">2025-03-26T13:33:00Z</dcterms:created>
  <dcterms:modified xsi:type="dcterms:W3CDTF">2025-04-23T07:48:00Z</dcterms:modified>
</cp:coreProperties>
</file>