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48258138" w14:textId="664D1418" w:rsidR="00A8716E" w:rsidRDefault="00DF74CC" w:rsidP="00A8716E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Czech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Trade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Inspection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Authority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checked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13935">
        <w:rPr>
          <w:rFonts w:ascii="Arial" w:hAnsi="Arial" w:cs="Arial"/>
          <w:b/>
          <w:bCs/>
          <w:color w:val="2658A5"/>
          <w:sz w:val="32"/>
          <w:szCs w:val="32"/>
        </w:rPr>
        <w:br/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ban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on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sale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and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tobacco</w:t>
      </w:r>
      <w:proofErr w:type="spellEnd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 xml:space="preserve"> to </w:t>
      </w:r>
      <w:proofErr w:type="spellStart"/>
      <w:r w:rsidR="00A8716E" w:rsidRPr="001E1285">
        <w:rPr>
          <w:rFonts w:ascii="Arial" w:hAnsi="Arial" w:cs="Arial"/>
          <w:b/>
          <w:bCs/>
          <w:color w:val="2658A5"/>
          <w:sz w:val="32"/>
          <w:szCs w:val="32"/>
        </w:rPr>
        <w:t>minors</w:t>
      </w:r>
      <w:proofErr w:type="spellEnd"/>
    </w:p>
    <w:p w14:paraId="61DB09F3" w14:textId="77777777" w:rsidR="00A8716E" w:rsidRPr="00882332" w:rsidRDefault="00A8716E" w:rsidP="00A8716E">
      <w:pPr>
        <w:spacing w:before="240"/>
        <w:rPr>
          <w:rFonts w:ascii="Arial" w:eastAsia="Calibri" w:hAnsi="Arial" w:cs="Arial"/>
          <w:sz w:val="20"/>
          <w:szCs w:val="20"/>
        </w:rPr>
      </w:pPr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(Report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for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the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20"/>
          <w:szCs w:val="20"/>
        </w:rPr>
        <w:t>first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00882332">
        <w:rPr>
          <w:rFonts w:ascii="Arial" w:eastAsia="Calibri" w:hAnsi="Arial" w:cs="Arial"/>
          <w:i/>
          <w:iCs/>
          <w:sz w:val="20"/>
          <w:szCs w:val="20"/>
        </w:rPr>
        <w:t>quarter</w:t>
      </w:r>
      <w:proofErr w:type="spellEnd"/>
      <w:r w:rsidRPr="00882332">
        <w:rPr>
          <w:rFonts w:ascii="Arial" w:eastAsia="Calibri" w:hAnsi="Arial" w:cs="Arial"/>
          <w:i/>
          <w:iCs/>
          <w:sz w:val="20"/>
          <w:szCs w:val="20"/>
        </w:rPr>
        <w:t xml:space="preserve"> 202</w:t>
      </w:r>
      <w:r>
        <w:rPr>
          <w:rFonts w:ascii="Arial" w:eastAsia="Calibri" w:hAnsi="Arial" w:cs="Arial"/>
          <w:i/>
          <w:iCs/>
          <w:sz w:val="20"/>
          <w:szCs w:val="20"/>
        </w:rPr>
        <w:t>5</w:t>
      </w:r>
      <w:r w:rsidRPr="00882332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2B19897E" w14:textId="77777777" w:rsidR="00A8716E" w:rsidRPr="001E1285" w:rsidRDefault="00A8716E" w:rsidP="00A8716E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E1285">
        <w:rPr>
          <w:rFonts w:ascii="Arial" w:eastAsia="Calibri" w:hAnsi="Arial" w:cs="Arial"/>
          <w:sz w:val="20"/>
          <w:szCs w:val="20"/>
        </w:rPr>
        <w:t xml:space="preserve">(Prague, 3 June 2025)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During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first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quarter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this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year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continued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carry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as part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its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action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verify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whether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sellers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comply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with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No.65/2017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Protection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Health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against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Harmful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Effects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Addictive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Substances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No.353/2003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Excise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Duties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Act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No.307/2013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Coll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., on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Mandatory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Labelling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Alcohol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other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laws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CTIA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1,652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and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deficiencies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were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detected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785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(47.52%).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most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serious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finding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was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sale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alcoholic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beverages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persons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under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age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18,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which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was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detected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110 </w:t>
      </w:r>
      <w:proofErr w:type="spellStart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cases</w:t>
      </w:r>
      <w:proofErr w:type="spellEnd"/>
      <w:r w:rsidRPr="001E1285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0DBC74ED" w14:textId="77777777" w:rsidR="00A8716E" w:rsidRPr="001E1285" w:rsidRDefault="00A8716E" w:rsidP="00A8716E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event </w:t>
      </w:r>
      <w:proofErr w:type="spellStart"/>
      <w:r w:rsidRPr="001E1285">
        <w:rPr>
          <w:rFonts w:ascii="Arial" w:hAnsi="Arial" w:cs="Arial"/>
          <w:sz w:val="20"/>
          <w:szCs w:val="20"/>
        </w:rPr>
        <w:t>focused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primarily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compliance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legal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regulations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governing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offer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alcoholic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beverages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1E1285">
        <w:rPr>
          <w:rFonts w:ascii="Arial" w:hAnsi="Arial" w:cs="Arial"/>
          <w:sz w:val="20"/>
          <w:szCs w:val="20"/>
        </w:rPr>
        <w:t>herbal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intended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1E1285">
        <w:rPr>
          <w:rFonts w:ascii="Arial" w:hAnsi="Arial" w:cs="Arial"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cigarettes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sachets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content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containing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1E1285">
        <w:rPr>
          <w:rFonts w:ascii="Arial" w:hAnsi="Arial" w:cs="Arial"/>
          <w:sz w:val="20"/>
          <w:szCs w:val="20"/>
        </w:rPr>
        <w:t>from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1E1285">
        <w:rPr>
          <w:rFonts w:ascii="Arial" w:hAnsi="Arial" w:cs="Arial"/>
          <w:sz w:val="20"/>
          <w:szCs w:val="20"/>
        </w:rPr>
        <w:t>January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31 </w:t>
      </w:r>
      <w:proofErr w:type="spellStart"/>
      <w:r w:rsidRPr="001E1285">
        <w:rPr>
          <w:rFonts w:ascii="Arial" w:hAnsi="Arial" w:cs="Arial"/>
          <w:sz w:val="20"/>
          <w:szCs w:val="20"/>
        </w:rPr>
        <w:t>March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2025, </w:t>
      </w:r>
      <w:r w:rsidRPr="001E1285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1 652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carried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out,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almost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half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(785)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(47.52%).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laws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regulating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offer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related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183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inspections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(11.08%).</w:t>
      </w:r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Persons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used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251 </w:t>
      </w:r>
      <w:proofErr w:type="spellStart"/>
      <w:r w:rsidRPr="001E1285">
        <w:rPr>
          <w:rFonts w:ascii="Arial" w:hAnsi="Arial" w:cs="Arial"/>
          <w:sz w:val="20"/>
          <w:szCs w:val="20"/>
        </w:rPr>
        <w:t>control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purchases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20 </w:t>
      </w:r>
      <w:proofErr w:type="spellStart"/>
      <w:r w:rsidRPr="001E1285">
        <w:rPr>
          <w:rFonts w:ascii="Arial" w:hAnsi="Arial" w:cs="Arial"/>
          <w:sz w:val="20"/>
          <w:szCs w:val="20"/>
        </w:rPr>
        <w:t>controls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carried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out in </w:t>
      </w:r>
      <w:proofErr w:type="spellStart"/>
      <w:r w:rsidRPr="001E1285">
        <w:rPr>
          <w:rFonts w:ascii="Arial" w:hAnsi="Arial" w:cs="Arial"/>
          <w:sz w:val="20"/>
          <w:szCs w:val="20"/>
        </w:rPr>
        <w:t>cooperation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staff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trade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authorities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11 </w:t>
      </w:r>
      <w:proofErr w:type="spellStart"/>
      <w:r w:rsidRPr="001E1285">
        <w:rPr>
          <w:rFonts w:ascii="Arial" w:hAnsi="Arial" w:cs="Arial"/>
          <w:sz w:val="20"/>
          <w:szCs w:val="20"/>
        </w:rPr>
        <w:t>controls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participation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Police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Czech Republic, 2 </w:t>
      </w:r>
      <w:proofErr w:type="spellStart"/>
      <w:r w:rsidRPr="001E1285">
        <w:rPr>
          <w:rFonts w:ascii="Arial" w:hAnsi="Arial" w:cs="Arial"/>
          <w:sz w:val="20"/>
          <w:szCs w:val="20"/>
        </w:rPr>
        <w:t>controls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participation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members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Fire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Rescue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Corps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Czech Republic, 2 </w:t>
      </w:r>
      <w:proofErr w:type="spellStart"/>
      <w:r w:rsidRPr="001E1285">
        <w:rPr>
          <w:rFonts w:ascii="Arial" w:hAnsi="Arial" w:cs="Arial"/>
          <w:sz w:val="20"/>
          <w:szCs w:val="20"/>
        </w:rPr>
        <w:t>controls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carried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out in </w:t>
      </w:r>
      <w:proofErr w:type="spellStart"/>
      <w:r w:rsidRPr="001E1285">
        <w:rPr>
          <w:rFonts w:ascii="Arial" w:hAnsi="Arial" w:cs="Arial"/>
          <w:sz w:val="20"/>
          <w:szCs w:val="20"/>
        </w:rPr>
        <w:t>cooperation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members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Foreign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Police and 1 </w:t>
      </w:r>
      <w:proofErr w:type="spellStart"/>
      <w:r w:rsidRPr="001E1285">
        <w:rPr>
          <w:rFonts w:ascii="Arial" w:hAnsi="Arial" w:cs="Arial"/>
          <w:sz w:val="20"/>
          <w:szCs w:val="20"/>
        </w:rPr>
        <w:t>control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cooperation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inspectors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State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Agricultural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Food </w:t>
      </w:r>
      <w:proofErr w:type="spellStart"/>
      <w:r w:rsidRPr="001E1285">
        <w:rPr>
          <w:rFonts w:ascii="Arial" w:hAnsi="Arial" w:cs="Arial"/>
          <w:sz w:val="20"/>
          <w:szCs w:val="20"/>
        </w:rPr>
        <w:t>Inspectorate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Some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inspections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attended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E1285">
        <w:rPr>
          <w:rFonts w:ascii="Arial" w:hAnsi="Arial" w:cs="Arial"/>
          <w:sz w:val="20"/>
          <w:szCs w:val="20"/>
        </w:rPr>
        <w:t>several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state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administration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bodies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same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time</w:t>
      </w:r>
      <w:proofErr w:type="spellEnd"/>
      <w:r w:rsidRPr="001E1285">
        <w:rPr>
          <w:rFonts w:ascii="Arial" w:hAnsi="Arial" w:cs="Arial"/>
          <w:sz w:val="20"/>
          <w:szCs w:val="20"/>
        </w:rPr>
        <w:t>.</w:t>
      </w:r>
    </w:p>
    <w:p w14:paraId="11DE6CE3" w14:textId="77777777" w:rsidR="00A8716E" w:rsidRPr="001E1285" w:rsidRDefault="00A8716E" w:rsidP="00A8716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provision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No. 65/2017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.,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Health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against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Harmful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Effects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Addictive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Substances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215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this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>:</w:t>
      </w:r>
    </w:p>
    <w:p w14:paraId="1D03EA34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1E1285">
        <w:rPr>
          <w:rFonts w:ascii="Arial" w:hAnsi="Arial" w:cs="Arial"/>
          <w:b/>
          <w:bCs/>
          <w:sz w:val="20"/>
          <w:szCs w:val="20"/>
        </w:rPr>
        <w:t xml:space="preserve">n 110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11(5),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prohibits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serving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beverage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to a person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18,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>,</w:t>
      </w:r>
    </w:p>
    <w:p w14:paraId="3A3C8709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1285">
        <w:rPr>
          <w:rFonts w:ascii="Arial" w:hAnsi="Arial" w:cs="Arial"/>
          <w:sz w:val="20"/>
          <w:szCs w:val="20"/>
        </w:rPr>
        <w:t xml:space="preserve">in 39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sellers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1E1285">
        <w:rPr>
          <w:rFonts w:ascii="Arial" w:hAnsi="Arial" w:cs="Arial"/>
          <w:sz w:val="20"/>
          <w:szCs w:val="20"/>
        </w:rPr>
        <w:t>herbal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intended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smoking, </w:t>
      </w:r>
      <w:proofErr w:type="spellStart"/>
      <w:r w:rsidRPr="001E1285">
        <w:rPr>
          <w:rFonts w:ascii="Arial" w:hAnsi="Arial" w:cs="Arial"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cigarettes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sachets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content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containing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text </w:t>
      </w:r>
      <w:proofErr w:type="spellStart"/>
      <w:r w:rsidRPr="001E1285">
        <w:rPr>
          <w:rFonts w:ascii="Arial" w:hAnsi="Arial" w:cs="Arial"/>
          <w:sz w:val="20"/>
          <w:szCs w:val="20"/>
        </w:rPr>
        <w:t>clearly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visible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consumer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prohibition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1E1285">
        <w:rPr>
          <w:rFonts w:ascii="Arial" w:hAnsi="Arial" w:cs="Arial"/>
          <w:sz w:val="20"/>
          <w:szCs w:val="20"/>
        </w:rPr>
        <w:t>goods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persons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made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manner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prescribed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E1285">
        <w:rPr>
          <w:rFonts w:ascii="Arial" w:hAnsi="Arial" w:cs="Arial"/>
          <w:sz w:val="20"/>
          <w:szCs w:val="20"/>
        </w:rPr>
        <w:t>law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i.e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1E1285">
        <w:rPr>
          <w:rFonts w:ascii="Arial" w:hAnsi="Arial" w:cs="Arial"/>
          <w:sz w:val="20"/>
          <w:szCs w:val="20"/>
        </w:rPr>
        <w:t>language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1E1285">
        <w:rPr>
          <w:rFonts w:ascii="Arial" w:hAnsi="Arial" w:cs="Arial"/>
          <w:sz w:val="20"/>
          <w:szCs w:val="20"/>
        </w:rPr>
        <w:t>black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letters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1E1285">
        <w:rPr>
          <w:rFonts w:ascii="Arial" w:hAnsi="Arial" w:cs="Arial"/>
          <w:sz w:val="20"/>
          <w:szCs w:val="20"/>
        </w:rPr>
        <w:t>white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letter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size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least 2 cm, </w:t>
      </w:r>
      <w:proofErr w:type="spellStart"/>
      <w:r w:rsidRPr="001E1285">
        <w:rPr>
          <w:rFonts w:ascii="Arial" w:hAnsi="Arial" w:cs="Arial"/>
          <w:sz w:val="20"/>
          <w:szCs w:val="20"/>
        </w:rPr>
        <w:t>thereby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infringing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provisions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Article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5(2),</w:t>
      </w:r>
    </w:p>
    <w:p w14:paraId="3F153C50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1285">
        <w:rPr>
          <w:rFonts w:ascii="Arial" w:hAnsi="Arial" w:cs="Arial"/>
          <w:sz w:val="20"/>
          <w:szCs w:val="20"/>
        </w:rPr>
        <w:t xml:space="preserve">in 28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infringements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Article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13(1)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sellers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display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alcoholic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beverages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consumers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clearly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visible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1E1285">
        <w:rPr>
          <w:rFonts w:ascii="Arial" w:hAnsi="Arial" w:cs="Arial"/>
          <w:sz w:val="20"/>
          <w:szCs w:val="20"/>
        </w:rPr>
        <w:t>concerning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prohibition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such </w:t>
      </w:r>
      <w:proofErr w:type="spellStart"/>
      <w:r w:rsidRPr="001E1285">
        <w:rPr>
          <w:rFonts w:ascii="Arial" w:hAnsi="Arial" w:cs="Arial"/>
          <w:sz w:val="20"/>
          <w:szCs w:val="20"/>
        </w:rPr>
        <w:t>beverages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persons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text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1E1285">
        <w:rPr>
          <w:rFonts w:ascii="Arial" w:hAnsi="Arial" w:cs="Arial"/>
          <w:sz w:val="20"/>
          <w:szCs w:val="20"/>
        </w:rPr>
        <w:t>reproduced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statutory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version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i.e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in Czech, in </w:t>
      </w:r>
      <w:proofErr w:type="spellStart"/>
      <w:r w:rsidRPr="001E1285">
        <w:rPr>
          <w:rFonts w:ascii="Arial" w:hAnsi="Arial" w:cs="Arial"/>
          <w:sz w:val="20"/>
          <w:szCs w:val="20"/>
        </w:rPr>
        <w:t>black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letters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1E1285">
        <w:rPr>
          <w:rFonts w:ascii="Arial" w:hAnsi="Arial" w:cs="Arial"/>
          <w:sz w:val="20"/>
          <w:szCs w:val="20"/>
        </w:rPr>
        <w:t>white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background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letter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size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least 2 cm,</w:t>
      </w:r>
    </w:p>
    <w:p w14:paraId="2CB78CF3" w14:textId="77777777" w:rsidR="00A8716E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1E1285">
        <w:rPr>
          <w:rFonts w:ascii="Arial" w:hAnsi="Arial" w:cs="Arial"/>
          <w:sz w:val="20"/>
          <w:szCs w:val="20"/>
        </w:rPr>
        <w:t xml:space="preserve">n 12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3(4)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sellers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prohibition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selling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giving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herbal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smoking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cigarettes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sachets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and/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containing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to a person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11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prohibition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selling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smoking aids to a person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1 case,</w:t>
      </w:r>
    </w:p>
    <w:p w14:paraId="18A70F7C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1285">
        <w:rPr>
          <w:rFonts w:ascii="Arial" w:hAnsi="Arial" w:cs="Arial"/>
          <w:sz w:val="20"/>
          <w:szCs w:val="20"/>
        </w:rPr>
        <w:t xml:space="preserve">in 12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3(5)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where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seller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violated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prohibition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providing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economic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benefits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1E1285">
        <w:rPr>
          <w:rFonts w:ascii="Arial" w:hAnsi="Arial" w:cs="Arial"/>
          <w:sz w:val="20"/>
          <w:szCs w:val="20"/>
        </w:rPr>
        <w:t>herbal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smoking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cigarettes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cigarette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refills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sachets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content</w:t>
      </w:r>
      <w:proofErr w:type="spellEnd"/>
      <w:r w:rsidRPr="001E1285">
        <w:rPr>
          <w:rFonts w:ascii="Arial" w:hAnsi="Arial" w:cs="Arial"/>
          <w:sz w:val="20"/>
          <w:szCs w:val="20"/>
        </w:rPr>
        <w:t>,</w:t>
      </w:r>
    </w:p>
    <w:p w14:paraId="5C09CD47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1285">
        <w:rPr>
          <w:rFonts w:ascii="Arial" w:hAnsi="Arial" w:cs="Arial"/>
          <w:sz w:val="20"/>
          <w:szCs w:val="20"/>
        </w:rPr>
        <w:lastRenderedPageBreak/>
        <w:t xml:space="preserve">in 7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seller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1E1285">
        <w:rPr>
          <w:rFonts w:ascii="Arial" w:hAnsi="Arial" w:cs="Arial"/>
          <w:sz w:val="20"/>
          <w:szCs w:val="20"/>
        </w:rPr>
        <w:t>offer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smoking aids, </w:t>
      </w:r>
      <w:proofErr w:type="spellStart"/>
      <w:r w:rsidRPr="001E1285">
        <w:rPr>
          <w:rFonts w:ascii="Arial" w:hAnsi="Arial" w:cs="Arial"/>
          <w:sz w:val="20"/>
          <w:szCs w:val="20"/>
        </w:rPr>
        <w:t>herbal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smoking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electronic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cigarettes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nicotine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sachets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content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1E1285">
        <w:rPr>
          <w:rFonts w:ascii="Arial" w:hAnsi="Arial" w:cs="Arial"/>
          <w:sz w:val="20"/>
          <w:szCs w:val="20"/>
        </w:rPr>
        <w:t>separate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place </w:t>
      </w:r>
      <w:proofErr w:type="spellStart"/>
      <w:r w:rsidRPr="001E1285">
        <w:rPr>
          <w:rFonts w:ascii="Arial" w:hAnsi="Arial" w:cs="Arial"/>
          <w:sz w:val="20"/>
          <w:szCs w:val="20"/>
        </w:rPr>
        <w:t>from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other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goods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offer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thereby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infringing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provisions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Article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5(1),</w:t>
      </w:r>
    </w:p>
    <w:p w14:paraId="7F1516B3" w14:textId="77777777" w:rsidR="00A8716E" w:rsidRPr="001E1285" w:rsidRDefault="00A8716E" w:rsidP="00A8716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1285">
        <w:rPr>
          <w:rFonts w:ascii="Arial" w:hAnsi="Arial" w:cs="Arial"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other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provisions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Act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Protection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Health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against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Harmful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Effects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Addictive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Substances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only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few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>.</w:t>
      </w:r>
    </w:p>
    <w:p w14:paraId="6714BF2B" w14:textId="77777777" w:rsidR="00A8716E" w:rsidRDefault="00A8716E" w:rsidP="00A8716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F6D56D" w14:textId="77777777" w:rsidR="00A8716E" w:rsidRPr="001E1285" w:rsidRDefault="00A8716E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No. 353/2003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., on excise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duties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>,</w:t>
      </w:r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r w:rsidRPr="001E1285">
        <w:rPr>
          <w:rFonts w:ascii="Arial" w:hAnsi="Arial" w:cs="Arial"/>
          <w:b/>
          <w:bCs/>
          <w:sz w:val="20"/>
          <w:szCs w:val="20"/>
        </w:rPr>
        <w:t>in 1 case</w:t>
      </w:r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This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violation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114, </w:t>
      </w:r>
      <w:proofErr w:type="spellStart"/>
      <w:r w:rsidRPr="001E1285">
        <w:rPr>
          <w:rFonts w:ascii="Arial" w:hAnsi="Arial" w:cs="Arial"/>
          <w:sz w:val="20"/>
          <w:szCs w:val="20"/>
        </w:rPr>
        <w:t>where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seller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1E1285">
        <w:rPr>
          <w:rFonts w:ascii="Arial" w:hAnsi="Arial" w:cs="Arial"/>
          <w:sz w:val="20"/>
          <w:szCs w:val="20"/>
        </w:rPr>
        <w:t>comply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obligation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sell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marked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tobacco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sticker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No </w:t>
      </w:r>
      <w:proofErr w:type="spellStart"/>
      <w:r w:rsidRPr="001E1285">
        <w:rPr>
          <w:rFonts w:ascii="Arial" w:hAnsi="Arial" w:cs="Arial"/>
          <w:sz w:val="20"/>
          <w:szCs w:val="20"/>
        </w:rPr>
        <w:t>violation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Act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No. 307/2013 </w:t>
      </w:r>
      <w:proofErr w:type="spellStart"/>
      <w:r w:rsidRPr="001E1285">
        <w:rPr>
          <w:rFonts w:ascii="Arial" w:hAnsi="Arial" w:cs="Arial"/>
          <w:sz w:val="20"/>
          <w:szCs w:val="20"/>
        </w:rPr>
        <w:t>Coll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., on </w:t>
      </w:r>
      <w:proofErr w:type="spellStart"/>
      <w:r w:rsidRPr="001E1285">
        <w:rPr>
          <w:rFonts w:ascii="Arial" w:hAnsi="Arial" w:cs="Arial"/>
          <w:sz w:val="20"/>
          <w:szCs w:val="20"/>
        </w:rPr>
        <w:t>compulsory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labelling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alcohol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1E1285">
        <w:rPr>
          <w:rFonts w:ascii="Arial" w:hAnsi="Arial" w:cs="Arial"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review</w:t>
      </w:r>
      <w:proofErr w:type="spellEnd"/>
      <w:r w:rsidRPr="001E1285">
        <w:rPr>
          <w:rFonts w:ascii="Arial" w:hAnsi="Arial" w:cs="Arial"/>
          <w:sz w:val="20"/>
          <w:szCs w:val="20"/>
        </w:rPr>
        <w:t>.</w:t>
      </w:r>
    </w:p>
    <w:p w14:paraId="1566734B" w14:textId="77777777" w:rsidR="00A8716E" w:rsidRPr="00832B85" w:rsidRDefault="00A8716E" w:rsidP="00A871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1BCAC" w14:textId="77777777" w:rsidR="00A8716E" w:rsidRPr="001E1285" w:rsidRDefault="00A8716E" w:rsidP="00A871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any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provisions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Act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No. 634/1992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Coll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.,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Consumer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Protection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r w:rsidRPr="001E1285">
        <w:rPr>
          <w:rFonts w:ascii="Arial" w:hAnsi="Arial" w:cs="Arial"/>
          <w:b/>
          <w:bCs/>
          <w:sz w:val="20"/>
          <w:szCs w:val="20"/>
        </w:rPr>
        <w:t xml:space="preserve">in 810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1E1285">
        <w:rPr>
          <w:rFonts w:ascii="Arial" w:hAnsi="Arial" w:cs="Arial"/>
          <w:sz w:val="20"/>
          <w:szCs w:val="20"/>
        </w:rPr>
        <w:t>frequent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findings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related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breaches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principles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fairness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within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meaning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3, </w:t>
      </w:r>
      <w:proofErr w:type="spellStart"/>
      <w:r w:rsidRPr="001E1285">
        <w:rPr>
          <w:rFonts w:ascii="Arial" w:hAnsi="Arial" w:cs="Arial"/>
          <w:sz w:val="20"/>
          <w:szCs w:val="20"/>
        </w:rPr>
        <w:t>which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256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Failure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inform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consumer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price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1285">
        <w:rPr>
          <w:rFonts w:ascii="Arial" w:hAnsi="Arial" w:cs="Arial"/>
          <w:sz w:val="20"/>
          <w:szCs w:val="20"/>
        </w:rPr>
        <w:t>services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offered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accordance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provisions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qualified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234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Failure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issue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receipt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purchase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although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consumer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had </w:t>
      </w:r>
      <w:proofErr w:type="spellStart"/>
      <w:r w:rsidRPr="001E1285">
        <w:rPr>
          <w:rFonts w:ascii="Arial" w:hAnsi="Arial" w:cs="Arial"/>
          <w:sz w:val="20"/>
          <w:szCs w:val="20"/>
        </w:rPr>
        <w:t>requested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issuing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receipt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without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necessary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particulars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accordance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Article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16 </w:t>
      </w:r>
      <w:proofErr w:type="spellStart"/>
      <w:r w:rsidRPr="001E1285">
        <w:rPr>
          <w:rFonts w:ascii="Arial" w:hAnsi="Arial" w:cs="Arial"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112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Other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infringements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1E1285">
        <w:rPr>
          <w:rFonts w:ascii="Arial" w:hAnsi="Arial" w:cs="Arial"/>
          <w:sz w:val="20"/>
          <w:szCs w:val="20"/>
        </w:rPr>
        <w:t>smaller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number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Violations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other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laws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supervision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CTIA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only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sz w:val="20"/>
          <w:szCs w:val="20"/>
        </w:rPr>
        <w:t>few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>.</w:t>
      </w:r>
    </w:p>
    <w:p w14:paraId="3E8FBD58" w14:textId="77777777" w:rsidR="00A8716E" w:rsidRPr="001E1285" w:rsidRDefault="00A8716E" w:rsidP="00A871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1285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basis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088">
        <w:rPr>
          <w:rFonts w:ascii="Arial" w:hAnsi="Arial" w:cs="Arial"/>
          <w:sz w:val="20"/>
          <w:szCs w:val="20"/>
        </w:rPr>
        <w:t>infringements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legal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regulations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088">
        <w:rPr>
          <w:rFonts w:ascii="Arial" w:hAnsi="Arial" w:cs="Arial"/>
          <w:sz w:val="20"/>
          <w:szCs w:val="20"/>
        </w:rPr>
        <w:t>within</w:t>
      </w:r>
      <w:proofErr w:type="spellEnd"/>
      <w:r w:rsidRPr="006160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088">
        <w:rPr>
          <w:rFonts w:ascii="Arial" w:hAnsi="Arial" w:cs="Arial"/>
          <w:sz w:val="20"/>
          <w:szCs w:val="20"/>
        </w:rPr>
        <w:t>the</w:t>
      </w:r>
      <w:proofErr w:type="spellEnd"/>
      <w:r w:rsidRPr="00616088">
        <w:rPr>
          <w:rFonts w:ascii="Arial" w:hAnsi="Arial" w:cs="Arial"/>
          <w:sz w:val="20"/>
          <w:szCs w:val="20"/>
        </w:rPr>
        <w:t xml:space="preserve"> supervisory </w:t>
      </w:r>
      <w:proofErr w:type="spellStart"/>
      <w:r w:rsidRPr="00616088">
        <w:rPr>
          <w:rFonts w:ascii="Arial" w:hAnsi="Arial" w:cs="Arial"/>
          <w:sz w:val="20"/>
          <w:szCs w:val="20"/>
        </w:rPr>
        <w:t>competence</w:t>
      </w:r>
      <w:proofErr w:type="spellEnd"/>
      <w:r w:rsidRPr="006160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088">
        <w:rPr>
          <w:rFonts w:ascii="Arial" w:hAnsi="Arial" w:cs="Arial"/>
          <w:sz w:val="20"/>
          <w:szCs w:val="20"/>
        </w:rPr>
        <w:t>of</w:t>
      </w:r>
      <w:proofErr w:type="spellEnd"/>
      <w:r w:rsidRPr="006160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088">
        <w:rPr>
          <w:rFonts w:ascii="Arial" w:hAnsi="Arial" w:cs="Arial"/>
          <w:sz w:val="20"/>
          <w:szCs w:val="20"/>
        </w:rPr>
        <w:t>the</w:t>
      </w:r>
      <w:proofErr w:type="spellEnd"/>
      <w:r w:rsidRPr="00616088">
        <w:rPr>
          <w:rFonts w:ascii="Arial" w:hAnsi="Arial" w:cs="Arial"/>
          <w:sz w:val="20"/>
          <w:szCs w:val="20"/>
        </w:rPr>
        <w:t xml:space="preserve"> CTIA</w:t>
      </w:r>
      <w:r w:rsidRPr="001E1285">
        <w:rPr>
          <w:rFonts w:ascii="Arial" w:hAnsi="Arial" w:cs="Arial"/>
          <w:sz w:val="20"/>
          <w:szCs w:val="20"/>
        </w:rPr>
        <w:t xml:space="preserve">, </w:t>
      </w:r>
      <w:r w:rsidRPr="001E1285">
        <w:rPr>
          <w:rFonts w:ascii="Arial" w:hAnsi="Arial" w:cs="Arial"/>
          <w:b/>
          <w:bCs/>
          <w:sz w:val="20"/>
          <w:szCs w:val="20"/>
        </w:rPr>
        <w:t xml:space="preserve">641 fines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value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CZK 13,542,000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came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force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first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quarter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2025.</w:t>
      </w:r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some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fines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combined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fines </w:t>
      </w:r>
      <w:proofErr w:type="spellStart"/>
      <w:r w:rsidRPr="001E1285">
        <w:rPr>
          <w:rFonts w:ascii="Arial" w:hAnsi="Arial" w:cs="Arial"/>
          <w:sz w:val="20"/>
          <w:szCs w:val="20"/>
        </w:rPr>
        <w:t>imposed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deficiencies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during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multiple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inspections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different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establishments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same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seller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sz w:val="20"/>
          <w:szCs w:val="20"/>
        </w:rPr>
        <w:t>For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breaches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obligations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laid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down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specific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regulations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r w:rsidRPr="001E1285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ban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imposed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133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products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value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CZK 6 621 and a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ban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issued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use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133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measuring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instruments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that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did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1E1285">
        <w:rPr>
          <w:rFonts w:ascii="Arial" w:hAnsi="Arial" w:cs="Arial"/>
          <w:sz w:val="20"/>
          <w:szCs w:val="20"/>
        </w:rPr>
        <w:t>comply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with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applicable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legislation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technical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standards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other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technical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regulations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approved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type.</w:t>
      </w:r>
    </w:p>
    <w:p w14:paraId="2B5FAEEA" w14:textId="6BD382A7" w:rsidR="00A8716E" w:rsidRPr="001E1285" w:rsidRDefault="00A8716E" w:rsidP="00A871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results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inspections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confirmed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justification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inspection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sz w:val="20"/>
          <w:szCs w:val="20"/>
        </w:rPr>
        <w:t>where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deficiencies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were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found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almost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half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(47.52%) </w:t>
      </w:r>
      <w:proofErr w:type="spellStart"/>
      <w:r w:rsidRPr="001E1285">
        <w:rPr>
          <w:rFonts w:ascii="Arial" w:hAnsi="Arial" w:cs="Arial"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inspection</w:t>
      </w:r>
      <w:r w:rsidR="00F71B6C">
        <w:rPr>
          <w:rFonts w:ascii="Arial" w:hAnsi="Arial" w:cs="Arial"/>
          <w:sz w:val="20"/>
          <w:szCs w:val="20"/>
        </w:rPr>
        <w:t>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most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serious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finding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sale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serving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alcoholic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beverages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persons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under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18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years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age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which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was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detected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in 110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i.e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. in 6.66%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total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1,652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checks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b/>
          <w:bCs/>
          <w:sz w:val="20"/>
          <w:szCs w:val="20"/>
        </w:rPr>
        <w:t>carried</w:t>
      </w:r>
      <w:proofErr w:type="spellEnd"/>
      <w:r w:rsidRPr="001E1285">
        <w:rPr>
          <w:rFonts w:ascii="Arial" w:hAnsi="Arial" w:cs="Arial"/>
          <w:b/>
          <w:bCs/>
          <w:sz w:val="20"/>
          <w:szCs w:val="20"/>
        </w:rPr>
        <w:t xml:space="preserve"> out.</w:t>
      </w:r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The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Pr="001E1285">
        <w:rPr>
          <w:rFonts w:ascii="Arial" w:hAnsi="Arial" w:cs="Arial"/>
          <w:sz w:val="20"/>
          <w:szCs w:val="20"/>
        </w:rPr>
        <w:t>Trade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Inspection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Authority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will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continue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E1285">
        <w:rPr>
          <w:rFonts w:ascii="Arial" w:hAnsi="Arial" w:cs="Arial"/>
          <w:sz w:val="20"/>
          <w:szCs w:val="20"/>
        </w:rPr>
        <w:t>focus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intensively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E1285">
        <w:rPr>
          <w:rFonts w:ascii="Arial" w:hAnsi="Arial" w:cs="Arial"/>
          <w:sz w:val="20"/>
          <w:szCs w:val="20"/>
        </w:rPr>
        <w:t>control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285">
        <w:rPr>
          <w:rFonts w:ascii="Arial" w:hAnsi="Arial" w:cs="Arial"/>
          <w:sz w:val="20"/>
          <w:szCs w:val="20"/>
        </w:rPr>
        <w:t>activities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E1285">
        <w:rPr>
          <w:rFonts w:ascii="Arial" w:hAnsi="Arial" w:cs="Arial"/>
          <w:sz w:val="20"/>
          <w:szCs w:val="20"/>
        </w:rPr>
        <w:t>this</w:t>
      </w:r>
      <w:proofErr w:type="spellEnd"/>
      <w:r w:rsidRPr="001E1285">
        <w:rPr>
          <w:rFonts w:ascii="Arial" w:hAnsi="Arial" w:cs="Arial"/>
          <w:sz w:val="20"/>
          <w:szCs w:val="20"/>
        </w:rPr>
        <w:t xml:space="preserve"> area.</w:t>
      </w:r>
    </w:p>
    <w:p w14:paraId="10C60799" w14:textId="77777777" w:rsidR="00A8716E" w:rsidRDefault="00A8716E" w:rsidP="00A871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81E4217" w14:textId="77777777" w:rsidR="00A8716E" w:rsidRPr="00832B85" w:rsidRDefault="00A8716E" w:rsidP="00A871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B05598B" w14:textId="5BDA2719" w:rsidR="008764CE" w:rsidRPr="004A3BB4" w:rsidRDefault="008764CE" w:rsidP="00A8716E">
      <w:pPr>
        <w:pStyle w:val="Normlnweb"/>
        <w:rPr>
          <w:b/>
          <w:bCs/>
          <w:sz w:val="20"/>
          <w:szCs w:val="20"/>
          <w:lang w:val="en-GB"/>
        </w:rPr>
      </w:pPr>
    </w:p>
    <w:p w14:paraId="1BE7D3EA" w14:textId="77777777" w:rsidR="00656822" w:rsidRPr="004A3BB4" w:rsidRDefault="00656822" w:rsidP="000C3EFE">
      <w:pPr>
        <w:spacing w:line="240" w:lineRule="auto"/>
        <w:rPr>
          <w:rFonts w:ascii="Arial" w:hAnsi="Arial" w:cs="Arial"/>
          <w:sz w:val="20"/>
          <w:szCs w:val="20"/>
          <w:u w:val="single"/>
          <w:lang w:val="en-GB"/>
        </w:rPr>
      </w:pPr>
    </w:p>
    <w:sectPr w:rsidR="00656822" w:rsidRPr="004A3BB4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91D1" w14:textId="77777777" w:rsidR="00D12F17" w:rsidRDefault="00D12F17" w:rsidP="00807D68">
      <w:pPr>
        <w:spacing w:after="0" w:line="240" w:lineRule="auto"/>
      </w:pPr>
      <w:r>
        <w:separator/>
      </w:r>
    </w:p>
  </w:endnote>
  <w:endnote w:type="continuationSeparator" w:id="0">
    <w:p w14:paraId="7BCFDDB1" w14:textId="77777777" w:rsidR="00D12F17" w:rsidRDefault="00D12F17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Spokesperson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of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the</w:t>
                    </w:r>
                    <w:proofErr w:type="spellEnd"/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 xml:space="preserve">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</w:t>
                    </w:r>
                    <w:proofErr w:type="spellEnd"/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7E8C" w14:textId="77777777" w:rsidR="00D12F17" w:rsidRDefault="00D12F17" w:rsidP="00807D68">
      <w:pPr>
        <w:spacing w:after="0" w:line="240" w:lineRule="auto"/>
      </w:pPr>
      <w:r>
        <w:separator/>
      </w:r>
    </w:p>
  </w:footnote>
  <w:footnote w:type="continuationSeparator" w:id="0">
    <w:p w14:paraId="24893124" w14:textId="77777777" w:rsidR="00D12F17" w:rsidRDefault="00D12F17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2"/>
  </w:num>
  <w:num w:numId="2" w16cid:durableId="513879739">
    <w:abstractNumId w:val="14"/>
  </w:num>
  <w:num w:numId="3" w16cid:durableId="2052920723">
    <w:abstractNumId w:val="7"/>
  </w:num>
  <w:num w:numId="4" w16cid:durableId="1442922314">
    <w:abstractNumId w:val="15"/>
  </w:num>
  <w:num w:numId="5" w16cid:durableId="1812483706">
    <w:abstractNumId w:val="16"/>
  </w:num>
  <w:num w:numId="6" w16cid:durableId="2041544689">
    <w:abstractNumId w:val="9"/>
  </w:num>
  <w:num w:numId="7" w16cid:durableId="97410661">
    <w:abstractNumId w:val="8"/>
  </w:num>
  <w:num w:numId="8" w16cid:durableId="969164436">
    <w:abstractNumId w:val="4"/>
  </w:num>
  <w:num w:numId="9" w16cid:durableId="323824122">
    <w:abstractNumId w:val="11"/>
  </w:num>
  <w:num w:numId="10" w16cid:durableId="416053402">
    <w:abstractNumId w:val="5"/>
  </w:num>
  <w:num w:numId="11" w16cid:durableId="1280600414">
    <w:abstractNumId w:val="17"/>
  </w:num>
  <w:num w:numId="12" w16cid:durableId="681981078">
    <w:abstractNumId w:val="0"/>
  </w:num>
  <w:num w:numId="13" w16cid:durableId="587806848">
    <w:abstractNumId w:val="6"/>
  </w:num>
  <w:num w:numId="14" w16cid:durableId="2029330390">
    <w:abstractNumId w:val="13"/>
  </w:num>
  <w:num w:numId="15" w16cid:durableId="1059745948">
    <w:abstractNumId w:val="12"/>
  </w:num>
  <w:num w:numId="16" w16cid:durableId="900596287">
    <w:abstractNumId w:val="3"/>
  </w:num>
  <w:num w:numId="17" w16cid:durableId="298924260">
    <w:abstractNumId w:val="1"/>
  </w:num>
  <w:num w:numId="18" w16cid:durableId="1535190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E2C64"/>
    <w:rsid w:val="001401CF"/>
    <w:rsid w:val="00142850"/>
    <w:rsid w:val="001472E1"/>
    <w:rsid w:val="00151CF6"/>
    <w:rsid w:val="00152827"/>
    <w:rsid w:val="00156FEF"/>
    <w:rsid w:val="00167F18"/>
    <w:rsid w:val="001C38DE"/>
    <w:rsid w:val="001D0E07"/>
    <w:rsid w:val="001D158E"/>
    <w:rsid w:val="001D5235"/>
    <w:rsid w:val="001E03F2"/>
    <w:rsid w:val="001F2757"/>
    <w:rsid w:val="0020122A"/>
    <w:rsid w:val="002012CC"/>
    <w:rsid w:val="00222FE5"/>
    <w:rsid w:val="00225F02"/>
    <w:rsid w:val="002726E7"/>
    <w:rsid w:val="0027510E"/>
    <w:rsid w:val="00275DB2"/>
    <w:rsid w:val="00291DB1"/>
    <w:rsid w:val="00293137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38C0"/>
    <w:rsid w:val="00622F40"/>
    <w:rsid w:val="0062305C"/>
    <w:rsid w:val="00643C96"/>
    <w:rsid w:val="00653A86"/>
    <w:rsid w:val="00656822"/>
    <w:rsid w:val="00663C7B"/>
    <w:rsid w:val="00681DA5"/>
    <w:rsid w:val="006849AE"/>
    <w:rsid w:val="006B6A4B"/>
    <w:rsid w:val="006D428D"/>
    <w:rsid w:val="006D7B69"/>
    <w:rsid w:val="006E3BFD"/>
    <w:rsid w:val="006F4540"/>
    <w:rsid w:val="006F6413"/>
    <w:rsid w:val="0070124B"/>
    <w:rsid w:val="00713EA7"/>
    <w:rsid w:val="00722ADF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8078D2"/>
    <w:rsid w:val="00807D68"/>
    <w:rsid w:val="00821C27"/>
    <w:rsid w:val="008272FD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E29F2"/>
    <w:rsid w:val="00BF01FF"/>
    <w:rsid w:val="00BF5CA1"/>
    <w:rsid w:val="00C136C8"/>
    <w:rsid w:val="00C241B4"/>
    <w:rsid w:val="00C41758"/>
    <w:rsid w:val="00C43D14"/>
    <w:rsid w:val="00C4704F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5B22"/>
    <w:rsid w:val="00DE1E58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53</cp:revision>
  <cp:lastPrinted>2025-01-14T15:40:00Z</cp:lastPrinted>
  <dcterms:created xsi:type="dcterms:W3CDTF">2025-05-02T08:29:00Z</dcterms:created>
  <dcterms:modified xsi:type="dcterms:W3CDTF">2025-06-13T09:58:00Z</dcterms:modified>
</cp:coreProperties>
</file>