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43A7" w14:textId="77777777" w:rsidR="00CF0332" w:rsidRPr="004A3BB4" w:rsidRDefault="00CF0332" w:rsidP="00CF0332">
      <w:pPr>
        <w:spacing w:before="240"/>
        <w:jc w:val="right"/>
        <w:rPr>
          <w:rFonts w:ascii="Arial" w:hAnsi="Arial" w:cs="Arial"/>
          <w:color w:val="2658A5"/>
          <w:sz w:val="48"/>
          <w:szCs w:val="48"/>
          <w:lang w:val="en-GB"/>
        </w:rPr>
      </w:pPr>
      <w:r w:rsidRPr="004A3BB4">
        <w:rPr>
          <w:rFonts w:ascii="Arial" w:hAnsi="Arial" w:cs="Arial"/>
          <w:noProof/>
          <w:color w:val="2658A5"/>
          <w:sz w:val="48"/>
          <w:szCs w:val="48"/>
          <w:lang w:val="en-GB" w:eastAsia="cs-CZ"/>
        </w:rPr>
        <w:drawing>
          <wp:anchor distT="0" distB="0" distL="114300" distR="114300" simplePos="0" relativeHeight="251659264" behindDoc="0" locked="0" layoutInCell="1" allowOverlap="1" wp14:anchorId="1BBE1245" wp14:editId="65CFA82C">
            <wp:simplePos x="0" y="0"/>
            <wp:positionH relativeFrom="column">
              <wp:posOffset>-156845</wp:posOffset>
            </wp:positionH>
            <wp:positionV relativeFrom="paragraph">
              <wp:posOffset>-72390</wp:posOffset>
            </wp:positionV>
            <wp:extent cx="2876550" cy="793759"/>
            <wp:effectExtent l="0" t="0" r="0" b="6350"/>
            <wp:wrapNone/>
            <wp:docPr id="1901269243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69243" name="Obrázek 2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B4">
        <w:rPr>
          <w:rFonts w:ascii="Arial" w:hAnsi="Arial" w:cs="Arial"/>
          <w:color w:val="2658A5"/>
          <w:sz w:val="48"/>
          <w:szCs w:val="48"/>
          <w:lang w:val="en-GB"/>
        </w:rPr>
        <w:t>PRESS RELEASE</w:t>
      </w:r>
    </w:p>
    <w:p w14:paraId="11B2D0EE" w14:textId="7065E752" w:rsidR="003E7BA9" w:rsidRDefault="00DF74CC" w:rsidP="00A8716E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  <w:lang w:val="en-GB"/>
        </w:rPr>
        <w:br/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Czech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Trade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Inspection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Authority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carried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out </w:t>
      </w:r>
      <w:r w:rsidR="00DF3DDD"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174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inspections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online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shops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in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first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quarter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DF3DDD"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and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found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violations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regulations</w:t>
      </w:r>
      <w:proofErr w:type="spellEnd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 xml:space="preserve"> in 151 </w:t>
      </w:r>
      <w:proofErr w:type="spellStart"/>
      <w:r w:rsidR="003E7BA9" w:rsidRPr="003E7BA9">
        <w:rPr>
          <w:rFonts w:ascii="Arial" w:hAnsi="Arial" w:cs="Arial"/>
          <w:b/>
          <w:bCs/>
          <w:color w:val="2658A5"/>
          <w:sz w:val="32"/>
          <w:szCs w:val="32"/>
        </w:rPr>
        <w:t>inspections</w:t>
      </w:r>
      <w:proofErr w:type="spellEnd"/>
    </w:p>
    <w:p w14:paraId="187175FF" w14:textId="77777777" w:rsidR="003E7BA9" w:rsidRPr="003E7BA9" w:rsidRDefault="003E7BA9" w:rsidP="003E7BA9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E7BA9">
        <w:rPr>
          <w:rFonts w:ascii="Arial" w:eastAsia="Calibri" w:hAnsi="Arial" w:cs="Arial"/>
          <w:sz w:val="20"/>
          <w:szCs w:val="20"/>
        </w:rPr>
        <w:t>(Prague, 19 June 2025)</w:t>
      </w:r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Czech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Trade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Inspection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Authority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continued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its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online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shops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in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first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quarter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this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year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focusing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on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those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that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show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signs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non-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compliance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with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legal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obligations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In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period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from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2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January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to 31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March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2025, a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total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174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were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carried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out,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verifying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compliance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with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obligations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arising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from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Act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No. 634/1992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Coll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., on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Consumer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Protection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and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other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legal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regulations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Violations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legal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regulations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were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found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in 151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i.e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86.78%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all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3E7BA9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14:paraId="1AF63D50" w14:textId="740C3E79" w:rsidR="003E7BA9" w:rsidRPr="003E7BA9" w:rsidRDefault="003E7BA9" w:rsidP="003E7BA9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control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action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permanently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focused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on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compliance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sellers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their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obligations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when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selling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by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means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distance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communication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Legal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entities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and natural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persons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conducting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their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business via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Internet,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including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mobile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applications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social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networks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3E7BA9">
        <w:rPr>
          <w:rFonts w:ascii="Arial" w:eastAsia="Times New Roman" w:hAnsi="Arial" w:cs="Arial"/>
          <w:sz w:val="20"/>
          <w:szCs w:val="20"/>
          <w:lang w:eastAsia="cs-CZ"/>
        </w:rPr>
        <w:t>audited</w:t>
      </w:r>
      <w:proofErr w:type="spellEnd"/>
      <w:r w:rsidRPr="003E7BA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AFF558F" w14:textId="47230BD5" w:rsidR="003E7BA9" w:rsidRDefault="003E7BA9" w:rsidP="00A8716E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Act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No. 634/1992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Coll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., on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Protection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violated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in 217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first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quarter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most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frequent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finding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breach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Section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13 in 80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which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requires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seller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inform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scope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conditions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method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exercising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right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claim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defective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performance, </w:t>
      </w:r>
      <w:proofErr w:type="spellStart"/>
      <w:r w:rsidRPr="003E7BA9">
        <w:rPr>
          <w:rFonts w:ascii="Arial" w:hAnsi="Arial" w:cs="Arial"/>
          <w:sz w:val="20"/>
          <w:szCs w:val="20"/>
        </w:rPr>
        <w:t>together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with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information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E7BA9">
        <w:rPr>
          <w:rFonts w:ascii="Arial" w:hAnsi="Arial" w:cs="Arial"/>
          <w:sz w:val="20"/>
          <w:szCs w:val="20"/>
        </w:rPr>
        <w:t>where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claim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can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be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made.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next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most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frequent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finding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use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unfair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commercial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practices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in 67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>,</w:t>
      </w:r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which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may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distort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consumer's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economic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behaviour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and lead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consumer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make a </w:t>
      </w:r>
      <w:proofErr w:type="spellStart"/>
      <w:r w:rsidRPr="003E7BA9">
        <w:rPr>
          <w:rFonts w:ascii="Arial" w:hAnsi="Arial" w:cs="Arial"/>
          <w:sz w:val="20"/>
          <w:szCs w:val="20"/>
        </w:rPr>
        <w:t>decision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he </w:t>
      </w:r>
      <w:proofErr w:type="spellStart"/>
      <w:r w:rsidRPr="003E7BA9">
        <w:rPr>
          <w:rFonts w:ascii="Arial" w:hAnsi="Arial" w:cs="Arial"/>
          <w:sz w:val="20"/>
          <w:szCs w:val="20"/>
        </w:rPr>
        <w:t>would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3E7BA9">
        <w:rPr>
          <w:rFonts w:ascii="Arial" w:hAnsi="Arial" w:cs="Arial"/>
          <w:sz w:val="20"/>
          <w:szCs w:val="20"/>
        </w:rPr>
        <w:t>otherwise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have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made. These </w:t>
      </w:r>
      <w:proofErr w:type="spellStart"/>
      <w:r w:rsidRPr="003E7BA9">
        <w:rPr>
          <w:rFonts w:ascii="Arial" w:hAnsi="Arial" w:cs="Arial"/>
          <w:sz w:val="20"/>
          <w:szCs w:val="20"/>
        </w:rPr>
        <w:t>were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mainly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infringements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Article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4(4) in </w:t>
      </w:r>
      <w:proofErr w:type="spellStart"/>
      <w:r w:rsidRPr="003E7BA9">
        <w:rPr>
          <w:rFonts w:ascii="Arial" w:hAnsi="Arial" w:cs="Arial"/>
          <w:sz w:val="20"/>
          <w:szCs w:val="20"/>
        </w:rPr>
        <w:t>relation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Article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5(1), (2), (3) (36 </w:t>
      </w:r>
      <w:proofErr w:type="spellStart"/>
      <w:r w:rsidRPr="003E7BA9">
        <w:rPr>
          <w:rFonts w:ascii="Arial" w:hAnsi="Arial" w:cs="Arial"/>
          <w:sz w:val="20"/>
          <w:szCs w:val="20"/>
        </w:rPr>
        <w:t>cases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E7BA9">
        <w:rPr>
          <w:rFonts w:ascii="Arial" w:hAnsi="Arial" w:cs="Arial"/>
          <w:sz w:val="20"/>
          <w:szCs w:val="20"/>
        </w:rPr>
        <w:t>where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seller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found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have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acted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deceptively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towards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by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providing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false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or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misleading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information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about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product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service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price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service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seller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rights</w:t>
      </w:r>
      <w:proofErr w:type="spellEnd"/>
      <w:r w:rsidRPr="000D268B">
        <w:rPr>
          <w:rFonts w:ascii="Arial" w:hAnsi="Arial" w:cs="Arial"/>
          <w:sz w:val="20"/>
          <w:szCs w:val="20"/>
        </w:rPr>
        <w:t>,</w:t>
      </w:r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etc</w:t>
      </w:r>
      <w:proofErr w:type="spellEnd"/>
      <w:r w:rsidRPr="003E7BA9">
        <w:rPr>
          <w:rFonts w:ascii="Arial" w:hAnsi="Arial" w:cs="Arial"/>
          <w:sz w:val="20"/>
          <w:szCs w:val="20"/>
        </w:rPr>
        <w:t>.</w:t>
      </w:r>
      <w:r w:rsidR="00827C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Furthermore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Section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4(4) in </w:t>
      </w:r>
      <w:proofErr w:type="spellStart"/>
      <w:r w:rsidRPr="003E7BA9">
        <w:rPr>
          <w:rFonts w:ascii="Arial" w:hAnsi="Arial" w:cs="Arial"/>
          <w:sz w:val="20"/>
          <w:szCs w:val="20"/>
        </w:rPr>
        <w:t>relation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Section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5a(1), (2) </w:t>
      </w:r>
      <w:proofErr w:type="spellStart"/>
      <w:r w:rsidRPr="003E7BA9">
        <w:rPr>
          <w:rFonts w:ascii="Arial" w:hAnsi="Arial" w:cs="Arial"/>
          <w:sz w:val="20"/>
          <w:szCs w:val="20"/>
        </w:rPr>
        <w:t>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(5) (28 </w:t>
      </w:r>
      <w:proofErr w:type="spellStart"/>
      <w:r w:rsidRPr="003E7BA9">
        <w:rPr>
          <w:rFonts w:ascii="Arial" w:hAnsi="Arial" w:cs="Arial"/>
          <w:sz w:val="20"/>
          <w:szCs w:val="20"/>
        </w:rPr>
        <w:t>cases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E7BA9">
        <w:rPr>
          <w:rFonts w:ascii="Arial" w:hAnsi="Arial" w:cs="Arial"/>
          <w:sz w:val="20"/>
          <w:szCs w:val="20"/>
        </w:rPr>
        <w:t>where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misleading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omission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was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found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because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seller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service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provider </w:t>
      </w:r>
      <w:proofErr w:type="spellStart"/>
      <w:r w:rsidRPr="003E7BA9">
        <w:rPr>
          <w:rFonts w:ascii="Arial" w:hAnsi="Arial" w:cs="Arial"/>
          <w:sz w:val="20"/>
          <w:szCs w:val="20"/>
        </w:rPr>
        <w:t>failed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provide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consumer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with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essential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information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about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product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service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withheld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information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provided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E7BA9">
        <w:rPr>
          <w:rFonts w:ascii="Arial" w:hAnsi="Arial" w:cs="Arial"/>
          <w:sz w:val="20"/>
          <w:szCs w:val="20"/>
        </w:rPr>
        <w:t>an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unclear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ambiguous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incomprehensible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manner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these, 14 </w:t>
      </w:r>
      <w:proofErr w:type="spellStart"/>
      <w:r w:rsidRPr="003E7BA9">
        <w:rPr>
          <w:rFonts w:ascii="Arial" w:hAnsi="Arial" w:cs="Arial"/>
          <w:sz w:val="20"/>
          <w:szCs w:val="20"/>
        </w:rPr>
        <w:t>cases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concerned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reviews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under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4(4) in </w:t>
      </w:r>
      <w:proofErr w:type="spellStart"/>
      <w:r w:rsidRPr="003E7BA9">
        <w:rPr>
          <w:rFonts w:ascii="Arial" w:hAnsi="Arial" w:cs="Arial"/>
          <w:sz w:val="20"/>
          <w:szCs w:val="20"/>
        </w:rPr>
        <w:t>relation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Section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5a(5), </w:t>
      </w:r>
      <w:proofErr w:type="spellStart"/>
      <w:r w:rsidRPr="003E7BA9">
        <w:rPr>
          <w:rFonts w:ascii="Arial" w:hAnsi="Arial" w:cs="Arial"/>
          <w:sz w:val="20"/>
          <w:szCs w:val="20"/>
        </w:rPr>
        <w:t>where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seller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failed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inform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whether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E7BA9">
        <w:rPr>
          <w:rFonts w:ascii="Arial" w:hAnsi="Arial" w:cs="Arial"/>
          <w:sz w:val="20"/>
          <w:szCs w:val="20"/>
        </w:rPr>
        <w:t>how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ensures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that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published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consumer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review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comes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from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E7BA9">
        <w:rPr>
          <w:rFonts w:ascii="Arial" w:hAnsi="Arial" w:cs="Arial"/>
          <w:sz w:val="20"/>
          <w:szCs w:val="20"/>
        </w:rPr>
        <w:t>consumer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who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3E7BA9">
        <w:rPr>
          <w:rFonts w:ascii="Arial" w:hAnsi="Arial" w:cs="Arial"/>
          <w:sz w:val="20"/>
          <w:szCs w:val="20"/>
        </w:rPr>
        <w:t>actually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used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purchased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product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. In 3 </w:t>
      </w:r>
      <w:proofErr w:type="spellStart"/>
      <w:r w:rsidRPr="003E7BA9">
        <w:rPr>
          <w:rFonts w:ascii="Arial" w:hAnsi="Arial" w:cs="Arial"/>
          <w:sz w:val="20"/>
          <w:szCs w:val="20"/>
        </w:rPr>
        <w:t>cases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violations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4(4) in </w:t>
      </w:r>
      <w:proofErr w:type="spellStart"/>
      <w:r w:rsidRPr="003E7BA9">
        <w:rPr>
          <w:rFonts w:ascii="Arial" w:hAnsi="Arial" w:cs="Arial"/>
          <w:sz w:val="20"/>
          <w:szCs w:val="20"/>
        </w:rPr>
        <w:t>relation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Section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4(1), </w:t>
      </w:r>
      <w:proofErr w:type="spellStart"/>
      <w:r w:rsidRPr="003E7BA9">
        <w:rPr>
          <w:rFonts w:ascii="Arial" w:hAnsi="Arial" w:cs="Arial"/>
          <w:sz w:val="20"/>
          <w:szCs w:val="20"/>
        </w:rPr>
        <w:t>i.e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. unfair </w:t>
      </w:r>
      <w:proofErr w:type="spellStart"/>
      <w:r w:rsidRPr="003E7BA9">
        <w:rPr>
          <w:rFonts w:ascii="Arial" w:hAnsi="Arial" w:cs="Arial"/>
          <w:sz w:val="20"/>
          <w:szCs w:val="20"/>
        </w:rPr>
        <w:t>commercial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practices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other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than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those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falling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under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5, </w:t>
      </w:r>
      <w:proofErr w:type="spellStart"/>
      <w:r w:rsidRPr="003E7BA9">
        <w:rPr>
          <w:rFonts w:ascii="Arial" w:hAnsi="Arial" w:cs="Arial"/>
          <w:sz w:val="20"/>
          <w:szCs w:val="20"/>
        </w:rPr>
        <w:t>Section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5a </w:t>
      </w:r>
      <w:proofErr w:type="spellStart"/>
      <w:r w:rsidRPr="003E7BA9">
        <w:rPr>
          <w:rFonts w:ascii="Arial" w:hAnsi="Arial" w:cs="Arial"/>
          <w:sz w:val="20"/>
          <w:szCs w:val="20"/>
        </w:rPr>
        <w:t>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5b, </w:t>
      </w:r>
      <w:proofErr w:type="spellStart"/>
      <w:r w:rsidRPr="003E7BA9">
        <w:rPr>
          <w:rFonts w:ascii="Arial" w:hAnsi="Arial" w:cs="Arial"/>
          <w:sz w:val="20"/>
          <w:szCs w:val="20"/>
        </w:rPr>
        <w:t>were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found</w:t>
      </w:r>
      <w:proofErr w:type="spellEnd"/>
      <w:r w:rsidRPr="003E7BA9">
        <w:rPr>
          <w:rFonts w:ascii="Arial" w:hAnsi="Arial" w:cs="Arial"/>
          <w:sz w:val="20"/>
          <w:szCs w:val="20"/>
        </w:rPr>
        <w:t>.</w:t>
      </w:r>
      <w:r w:rsidR="000D26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third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most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frequently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violated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provision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was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Article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14(1), (2) (31 </w:t>
      </w:r>
      <w:proofErr w:type="spellStart"/>
      <w:r w:rsidRPr="003E7BA9">
        <w:rPr>
          <w:rFonts w:ascii="Arial" w:hAnsi="Arial" w:cs="Arial"/>
          <w:sz w:val="20"/>
          <w:szCs w:val="20"/>
        </w:rPr>
        <w:t>cases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E7BA9">
        <w:rPr>
          <w:rFonts w:ascii="Arial" w:hAnsi="Arial" w:cs="Arial"/>
          <w:sz w:val="20"/>
          <w:szCs w:val="20"/>
        </w:rPr>
        <w:t>where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seller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did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not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inform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in any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way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about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out-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court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506C6">
        <w:rPr>
          <w:rFonts w:ascii="Arial" w:hAnsi="Arial" w:cs="Arial"/>
          <w:b/>
          <w:bCs/>
          <w:sz w:val="20"/>
          <w:szCs w:val="20"/>
        </w:rPr>
        <w:t>resolution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0D26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268B">
        <w:rPr>
          <w:rFonts w:ascii="Arial" w:hAnsi="Arial" w:cs="Arial"/>
          <w:b/>
          <w:bCs/>
          <w:sz w:val="20"/>
          <w:szCs w:val="20"/>
        </w:rPr>
        <w:t>disputes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(ADR).</w:t>
      </w:r>
    </w:p>
    <w:p w14:paraId="4B9BC0F6" w14:textId="1C7398CB" w:rsidR="003E7BA9" w:rsidRDefault="003E7BA9" w:rsidP="00A8716E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Act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No. 89/2012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Coll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.,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Civil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Code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violated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in a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208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period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review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>.</w:t>
      </w:r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3E7BA9">
        <w:rPr>
          <w:rFonts w:ascii="Arial" w:hAnsi="Arial" w:cs="Arial"/>
          <w:sz w:val="20"/>
          <w:szCs w:val="20"/>
        </w:rPr>
        <w:t>frequent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violation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provisions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1820 (114 </w:t>
      </w:r>
      <w:proofErr w:type="spellStart"/>
      <w:r w:rsidRPr="003E7BA9">
        <w:rPr>
          <w:rFonts w:ascii="Arial" w:hAnsi="Arial" w:cs="Arial"/>
          <w:sz w:val="20"/>
          <w:szCs w:val="20"/>
        </w:rPr>
        <w:t>cases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E7BA9">
        <w:rPr>
          <w:rFonts w:ascii="Arial" w:hAnsi="Arial" w:cs="Arial"/>
          <w:sz w:val="20"/>
          <w:szCs w:val="20"/>
        </w:rPr>
        <w:t>was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found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which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relates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communication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before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conclusion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E7BA9">
        <w:rPr>
          <w:rFonts w:ascii="Arial" w:hAnsi="Arial" w:cs="Arial"/>
          <w:sz w:val="20"/>
          <w:szCs w:val="20"/>
        </w:rPr>
        <w:t>contract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when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using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means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distance </w:t>
      </w:r>
      <w:proofErr w:type="spellStart"/>
      <w:r w:rsidRPr="003E7BA9">
        <w:rPr>
          <w:rFonts w:ascii="Arial" w:hAnsi="Arial" w:cs="Arial"/>
          <w:sz w:val="20"/>
          <w:szCs w:val="20"/>
        </w:rPr>
        <w:t>communication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these, in 58 </w:t>
      </w:r>
      <w:proofErr w:type="spellStart"/>
      <w:r w:rsidRPr="003E7BA9">
        <w:rPr>
          <w:rFonts w:ascii="Arial" w:hAnsi="Arial" w:cs="Arial"/>
          <w:sz w:val="20"/>
          <w:szCs w:val="20"/>
        </w:rPr>
        <w:t>cases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it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was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found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that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not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informed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conditions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time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limits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procedure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exercising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right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withdrawal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3E7BA9">
        <w:rPr>
          <w:rFonts w:ascii="Arial" w:hAnsi="Arial" w:cs="Arial"/>
          <w:sz w:val="20"/>
          <w:szCs w:val="20"/>
        </w:rPr>
        <w:t>well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3E7BA9">
        <w:rPr>
          <w:rFonts w:ascii="Arial" w:hAnsi="Arial" w:cs="Arial"/>
          <w:sz w:val="20"/>
          <w:szCs w:val="20"/>
        </w:rPr>
        <w:t>form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withdrawing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from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contract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pursuant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Article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1820(1)(i). In </w:t>
      </w:r>
      <w:proofErr w:type="spellStart"/>
      <w:r w:rsidRPr="003E7BA9">
        <w:rPr>
          <w:rFonts w:ascii="Arial" w:hAnsi="Arial" w:cs="Arial"/>
          <w:sz w:val="20"/>
          <w:szCs w:val="20"/>
        </w:rPr>
        <w:t>addition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in 35 </w:t>
      </w:r>
      <w:proofErr w:type="spellStart"/>
      <w:r w:rsidRPr="003E7BA9">
        <w:rPr>
          <w:rFonts w:ascii="Arial" w:hAnsi="Arial" w:cs="Arial"/>
          <w:sz w:val="20"/>
          <w:szCs w:val="20"/>
        </w:rPr>
        <w:t>cases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it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was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found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that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sellers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did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not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provide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with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text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contract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general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terms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conditions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in text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form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when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using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electronic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means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conclude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contract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E7BA9">
        <w:rPr>
          <w:rFonts w:ascii="Arial" w:hAnsi="Arial" w:cs="Arial"/>
          <w:sz w:val="20"/>
          <w:szCs w:val="20"/>
        </w:rPr>
        <w:t>accordance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with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provisions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Article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1827(2).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third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3E7BA9">
        <w:rPr>
          <w:rFonts w:ascii="Arial" w:hAnsi="Arial" w:cs="Arial"/>
          <w:sz w:val="20"/>
          <w:szCs w:val="20"/>
        </w:rPr>
        <w:t>frequently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violated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provision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Civil </w:t>
      </w:r>
      <w:proofErr w:type="spellStart"/>
      <w:r w:rsidRPr="003E7BA9">
        <w:rPr>
          <w:rFonts w:ascii="Arial" w:hAnsi="Arial" w:cs="Arial"/>
          <w:sz w:val="20"/>
          <w:szCs w:val="20"/>
        </w:rPr>
        <w:t>Code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was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Article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1826a(2), </w:t>
      </w:r>
      <w:proofErr w:type="spellStart"/>
      <w:r w:rsidRPr="003E7BA9">
        <w:rPr>
          <w:rFonts w:ascii="Arial" w:hAnsi="Arial" w:cs="Arial"/>
          <w:sz w:val="20"/>
          <w:szCs w:val="20"/>
        </w:rPr>
        <w:t>which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obliges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trader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ensure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that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explicitly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acknowledges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that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he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is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obliged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pay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when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placing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an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order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>.</w:t>
      </w:r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order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made </w:t>
      </w:r>
      <w:proofErr w:type="spellStart"/>
      <w:r w:rsidRPr="003E7BA9">
        <w:rPr>
          <w:rFonts w:ascii="Arial" w:hAnsi="Arial" w:cs="Arial"/>
          <w:sz w:val="20"/>
          <w:szCs w:val="20"/>
        </w:rPr>
        <w:t>using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E7BA9">
        <w:rPr>
          <w:rFonts w:ascii="Arial" w:hAnsi="Arial" w:cs="Arial"/>
          <w:sz w:val="20"/>
          <w:szCs w:val="20"/>
        </w:rPr>
        <w:t>button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similar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control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it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must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be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marked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with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an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easily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legible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3E7BA9">
        <w:rPr>
          <w:rFonts w:ascii="Arial" w:hAnsi="Arial" w:cs="Arial"/>
          <w:sz w:val="20"/>
          <w:szCs w:val="20"/>
        </w:rPr>
        <w:t>order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committing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payment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’ </w:t>
      </w:r>
      <w:proofErr w:type="spellStart"/>
      <w:r w:rsidRPr="003E7BA9">
        <w:rPr>
          <w:rFonts w:ascii="Arial" w:hAnsi="Arial" w:cs="Arial"/>
          <w:sz w:val="20"/>
          <w:szCs w:val="20"/>
        </w:rPr>
        <w:t>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other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appropriate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unambiguous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wording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3E7BA9">
        <w:rPr>
          <w:rFonts w:ascii="Arial" w:hAnsi="Arial" w:cs="Arial"/>
          <w:sz w:val="20"/>
          <w:szCs w:val="20"/>
        </w:rPr>
        <w:t>total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33 </w:t>
      </w:r>
      <w:proofErr w:type="spellStart"/>
      <w:r w:rsidRPr="003E7BA9">
        <w:rPr>
          <w:rFonts w:ascii="Arial" w:hAnsi="Arial" w:cs="Arial"/>
          <w:sz w:val="20"/>
          <w:szCs w:val="20"/>
        </w:rPr>
        <w:t>cases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were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found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E7BA9">
        <w:rPr>
          <w:rFonts w:ascii="Arial" w:hAnsi="Arial" w:cs="Arial"/>
          <w:sz w:val="20"/>
          <w:szCs w:val="20"/>
        </w:rPr>
        <w:t>breach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this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obligation</w:t>
      </w:r>
      <w:proofErr w:type="spellEnd"/>
      <w:r w:rsidRPr="003E7BA9">
        <w:rPr>
          <w:rFonts w:ascii="Arial" w:hAnsi="Arial" w:cs="Arial"/>
          <w:sz w:val="20"/>
          <w:szCs w:val="20"/>
        </w:rPr>
        <w:t>.</w:t>
      </w:r>
    </w:p>
    <w:p w14:paraId="6562E05B" w14:textId="1FC1AC7E" w:rsidR="003E7BA9" w:rsidRPr="003E7BA9" w:rsidRDefault="003E7BA9" w:rsidP="003E7BA9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3E7BA9">
        <w:rPr>
          <w:rFonts w:ascii="Arial" w:hAnsi="Arial" w:cs="Arial"/>
          <w:sz w:val="20"/>
          <w:szCs w:val="20"/>
        </w:rPr>
        <w:t>Violations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other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legal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regulations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which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3E7BA9">
        <w:rPr>
          <w:rFonts w:ascii="Arial" w:hAnsi="Arial" w:cs="Arial"/>
          <w:sz w:val="20"/>
          <w:szCs w:val="20"/>
        </w:rPr>
        <w:t>subject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supervision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CTIA, </w:t>
      </w:r>
      <w:proofErr w:type="spellStart"/>
      <w:r w:rsidRPr="003E7BA9">
        <w:rPr>
          <w:rFonts w:ascii="Arial" w:hAnsi="Arial" w:cs="Arial"/>
          <w:sz w:val="20"/>
          <w:szCs w:val="20"/>
        </w:rPr>
        <w:t>were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proven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in 76 </w:t>
      </w:r>
      <w:proofErr w:type="spellStart"/>
      <w:r w:rsidRPr="003E7BA9">
        <w:rPr>
          <w:rFonts w:ascii="Arial" w:hAnsi="Arial" w:cs="Arial"/>
          <w:sz w:val="20"/>
          <w:szCs w:val="20"/>
        </w:rPr>
        <w:t>other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cases</w:t>
      </w:r>
      <w:proofErr w:type="spellEnd"/>
      <w:r w:rsidRPr="003E7BA9">
        <w:rPr>
          <w:rFonts w:ascii="Arial" w:hAnsi="Arial" w:cs="Arial"/>
          <w:sz w:val="20"/>
          <w:szCs w:val="20"/>
        </w:rPr>
        <w:t>.</w:t>
      </w:r>
    </w:p>
    <w:p w14:paraId="763FD848" w14:textId="1D45F481" w:rsidR="003E7BA9" w:rsidRDefault="003E7BA9" w:rsidP="003E7BA9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7E26E9">
        <w:rPr>
          <w:rFonts w:ascii="Arial" w:hAnsi="Arial" w:cs="Arial"/>
          <w:b/>
          <w:bCs/>
          <w:sz w:val="20"/>
          <w:szCs w:val="20"/>
        </w:rPr>
        <w:lastRenderedPageBreak/>
        <w:t xml:space="preserve">On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basis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legal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regulations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supervision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CTIA</w:t>
      </w:r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detected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during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inspection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action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r w:rsidRPr="007E26E9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184 fines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with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value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CZK 3,042,000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came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into</w:t>
      </w:r>
      <w:proofErr w:type="spellEnd"/>
      <w:r w:rsidRPr="007E2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E26E9">
        <w:rPr>
          <w:rFonts w:ascii="Arial" w:hAnsi="Arial" w:cs="Arial"/>
          <w:b/>
          <w:bCs/>
          <w:sz w:val="20"/>
          <w:szCs w:val="20"/>
        </w:rPr>
        <w:t>force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3E7BA9">
        <w:rPr>
          <w:rFonts w:ascii="Arial" w:hAnsi="Arial" w:cs="Arial"/>
          <w:sz w:val="20"/>
          <w:szCs w:val="20"/>
        </w:rPr>
        <w:t>from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3E7BA9">
        <w:rPr>
          <w:rFonts w:ascii="Arial" w:hAnsi="Arial" w:cs="Arial"/>
          <w:sz w:val="20"/>
          <w:szCs w:val="20"/>
        </w:rPr>
        <w:t>January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31 </w:t>
      </w:r>
      <w:proofErr w:type="spellStart"/>
      <w:r w:rsidRPr="003E7BA9">
        <w:rPr>
          <w:rFonts w:ascii="Arial" w:hAnsi="Arial" w:cs="Arial"/>
          <w:sz w:val="20"/>
          <w:szCs w:val="20"/>
        </w:rPr>
        <w:t>March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2025.</w:t>
      </w:r>
    </w:p>
    <w:p w14:paraId="75200D0C" w14:textId="77777777" w:rsidR="003E7BA9" w:rsidRDefault="003E7BA9" w:rsidP="00A8716E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above-mentioned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ratio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inspections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with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detection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violations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legal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regulations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should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be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related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system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selecting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specific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online </w:t>
      </w:r>
      <w:proofErr w:type="spellStart"/>
      <w:r w:rsidRPr="003E7BA9">
        <w:rPr>
          <w:rFonts w:ascii="Arial" w:hAnsi="Arial" w:cs="Arial"/>
          <w:sz w:val="20"/>
          <w:szCs w:val="20"/>
        </w:rPr>
        <w:t>shops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inspection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- these online </w:t>
      </w:r>
      <w:proofErr w:type="spellStart"/>
      <w:r w:rsidRPr="003E7BA9">
        <w:rPr>
          <w:rFonts w:ascii="Arial" w:hAnsi="Arial" w:cs="Arial"/>
          <w:sz w:val="20"/>
          <w:szCs w:val="20"/>
        </w:rPr>
        <w:t>shops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3E7BA9">
        <w:rPr>
          <w:rFonts w:ascii="Arial" w:hAnsi="Arial" w:cs="Arial"/>
          <w:sz w:val="20"/>
          <w:szCs w:val="20"/>
        </w:rPr>
        <w:t>selected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basis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complaints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from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consumers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who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warn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possible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illegal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behaviour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website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operators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suspicions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sale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dangerous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products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use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unfair </w:t>
      </w:r>
      <w:proofErr w:type="spellStart"/>
      <w:r w:rsidRPr="003E7BA9">
        <w:rPr>
          <w:rFonts w:ascii="Arial" w:hAnsi="Arial" w:cs="Arial"/>
          <w:sz w:val="20"/>
          <w:szCs w:val="20"/>
        </w:rPr>
        <w:t>commercial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practices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BA9">
        <w:rPr>
          <w:rFonts w:ascii="Arial" w:hAnsi="Arial" w:cs="Arial"/>
          <w:sz w:val="20"/>
          <w:szCs w:val="20"/>
        </w:rPr>
        <w:t>Inspections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online </w:t>
      </w:r>
      <w:proofErr w:type="spellStart"/>
      <w:r w:rsidRPr="003E7BA9">
        <w:rPr>
          <w:rFonts w:ascii="Arial" w:hAnsi="Arial" w:cs="Arial"/>
          <w:sz w:val="20"/>
          <w:szCs w:val="20"/>
        </w:rPr>
        <w:t>shops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3E7BA9">
        <w:rPr>
          <w:rFonts w:ascii="Arial" w:hAnsi="Arial" w:cs="Arial"/>
          <w:sz w:val="20"/>
          <w:szCs w:val="20"/>
        </w:rPr>
        <w:t>always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time-consuming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E7BA9">
        <w:rPr>
          <w:rFonts w:ascii="Arial" w:hAnsi="Arial" w:cs="Arial"/>
          <w:sz w:val="20"/>
          <w:szCs w:val="20"/>
        </w:rPr>
        <w:t>involve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 full </w:t>
      </w:r>
      <w:proofErr w:type="spellStart"/>
      <w:r w:rsidRPr="003E7BA9">
        <w:rPr>
          <w:rFonts w:ascii="Arial" w:hAnsi="Arial" w:cs="Arial"/>
          <w:sz w:val="20"/>
          <w:szCs w:val="20"/>
        </w:rPr>
        <w:t>examination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their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activities</w:t>
      </w:r>
      <w:proofErr w:type="spellEnd"/>
      <w:r w:rsidRPr="003E7BA9">
        <w:rPr>
          <w:rFonts w:ascii="Arial" w:hAnsi="Arial" w:cs="Arial"/>
          <w:sz w:val="20"/>
          <w:szCs w:val="20"/>
        </w:rPr>
        <w:t>.</w:t>
      </w:r>
    </w:p>
    <w:p w14:paraId="743A5AE2" w14:textId="3A587AB3" w:rsidR="003E7BA9" w:rsidRDefault="003E7BA9" w:rsidP="00A8716E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results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inspections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confirm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that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violations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consumer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legislation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continue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7BA9">
        <w:rPr>
          <w:rFonts w:ascii="Arial" w:hAnsi="Arial" w:cs="Arial"/>
          <w:sz w:val="20"/>
          <w:szCs w:val="20"/>
        </w:rPr>
        <w:t>occur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area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internet sales. </w:t>
      </w:r>
      <w:proofErr w:type="spellStart"/>
      <w:r w:rsidRPr="003E7BA9">
        <w:rPr>
          <w:rFonts w:ascii="Arial" w:hAnsi="Arial" w:cs="Arial"/>
          <w:sz w:val="20"/>
          <w:szCs w:val="20"/>
        </w:rPr>
        <w:t>Recurrent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shortcomings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include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lack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information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provided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E7BA9">
        <w:rPr>
          <w:rFonts w:ascii="Arial" w:hAnsi="Arial" w:cs="Arial"/>
          <w:sz w:val="20"/>
          <w:szCs w:val="20"/>
        </w:rPr>
        <w:t>sellers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right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withdrawal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conditions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exercising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it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costs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returning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goods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existence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conditions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deadlines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E7BA9">
        <w:rPr>
          <w:rFonts w:ascii="Arial" w:hAnsi="Arial" w:cs="Arial"/>
          <w:sz w:val="20"/>
          <w:szCs w:val="20"/>
        </w:rPr>
        <w:t>procedures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for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exercising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the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right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of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withdrawal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A9">
        <w:rPr>
          <w:rFonts w:ascii="Arial" w:hAnsi="Arial" w:cs="Arial"/>
          <w:sz w:val="20"/>
          <w:szCs w:val="20"/>
        </w:rPr>
        <w:t>including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a model </w:t>
      </w:r>
      <w:proofErr w:type="spellStart"/>
      <w:r w:rsidRPr="003E7BA9">
        <w:rPr>
          <w:rFonts w:ascii="Arial" w:hAnsi="Arial" w:cs="Arial"/>
          <w:sz w:val="20"/>
          <w:szCs w:val="20"/>
        </w:rPr>
        <w:t>withdrawal</w:t>
      </w:r>
      <w:proofErr w:type="spellEnd"/>
      <w:r w:rsidRPr="003E7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A9">
        <w:rPr>
          <w:rFonts w:ascii="Arial" w:hAnsi="Arial" w:cs="Arial"/>
          <w:sz w:val="20"/>
          <w:szCs w:val="20"/>
        </w:rPr>
        <w:t>form</w:t>
      </w:r>
      <w:proofErr w:type="spellEnd"/>
      <w:r w:rsidRPr="003E7BA9">
        <w:rPr>
          <w:rFonts w:ascii="Arial" w:hAnsi="Arial" w:cs="Arial"/>
          <w:sz w:val="20"/>
          <w:szCs w:val="20"/>
        </w:rPr>
        <w:t>.</w:t>
      </w:r>
    </w:p>
    <w:p w14:paraId="69451576" w14:textId="77777777" w:rsidR="003E7BA9" w:rsidRDefault="003E7BA9" w:rsidP="00A8716E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1BE7D3EA" w14:textId="77777777" w:rsidR="00656822" w:rsidRPr="004A3BB4" w:rsidRDefault="00656822" w:rsidP="000C3EFE">
      <w:pPr>
        <w:spacing w:line="240" w:lineRule="auto"/>
        <w:rPr>
          <w:rFonts w:ascii="Arial" w:hAnsi="Arial" w:cs="Arial"/>
          <w:sz w:val="20"/>
          <w:szCs w:val="20"/>
          <w:u w:val="single"/>
          <w:lang w:val="en-GB"/>
        </w:rPr>
      </w:pPr>
    </w:p>
    <w:sectPr w:rsidR="00656822" w:rsidRPr="004A3BB4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95F1" w14:textId="77777777" w:rsidR="00F302BB" w:rsidRDefault="00F302BB" w:rsidP="00807D68">
      <w:pPr>
        <w:spacing w:after="0" w:line="240" w:lineRule="auto"/>
      </w:pPr>
      <w:r>
        <w:separator/>
      </w:r>
    </w:p>
  </w:endnote>
  <w:endnote w:type="continuationSeparator" w:id="0">
    <w:p w14:paraId="174C3756" w14:textId="77777777" w:rsidR="00F302BB" w:rsidRDefault="00F302BB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32C" w14:textId="77777777" w:rsidR="00CF0332" w:rsidRPr="000B3C18" w:rsidRDefault="00CF0332" w:rsidP="00CF0332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B37BDF" wp14:editId="19A401A4">
              <wp:simplePos x="0" y="0"/>
              <wp:positionH relativeFrom="column">
                <wp:posOffset>-108225</wp:posOffset>
              </wp:positionH>
              <wp:positionV relativeFrom="paragraph">
                <wp:posOffset>9914</wp:posOffset>
              </wp:positionV>
              <wp:extent cx="2190466" cy="1404620"/>
              <wp:effectExtent l="0" t="0" r="63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46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0721F" w14:textId="77777777" w:rsidR="00CF0332" w:rsidRPr="001458E6" w:rsidRDefault="00CF0332" w:rsidP="00CF033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Spokesperson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CTIA</w:t>
                          </w:r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7B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8.5pt;margin-top:.8pt;width:172.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XqDAIAAPc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" stroked="f">
              <v:textbox style="mso-fit-shape-to-text:t">
                <w:txbxContent>
                  <w:p w14:paraId="2C40721F" w14:textId="77777777" w:rsidR="00CF0332" w:rsidRPr="001458E6" w:rsidRDefault="00CF0332" w:rsidP="00CF033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Contact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Spokesperson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of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the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CTIA</w:t>
                    </w:r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František Kotrba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FAC25" wp14:editId="76DBF0CA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6D279" w14:textId="77777777" w:rsidR="00CF0332" w:rsidRPr="001458E6" w:rsidRDefault="00CF0332" w:rsidP="00CF033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Phone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: +420 296 366 233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Mobile: +420 731 553 732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 mluvci</w:t>
                          </w:r>
                          <w:r w:rsidRPr="0080652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en-US"/>
                            </w:rPr>
                            <w:t>@coi.gov.cz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AC25" id="_x0000_s1027" type="#_x0000_t202" style="position:absolute;left:0;text-align:left;margin-left:273.4pt;margin-top:.8pt;width:185.95pt;height: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" stroked="f">
              <v:textbox style="mso-fit-shape-to-text:t">
                <w:txbxContent>
                  <w:p w14:paraId="3F66D279" w14:textId="77777777" w:rsidR="00CF0332" w:rsidRPr="001458E6" w:rsidRDefault="00CF0332" w:rsidP="00CF0332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Phone</w:t>
                    </w:r>
                    <w:proofErr w:type="spellEnd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: +420 296 366 233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Mobile: +420 731 553 732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 mluvci</w:t>
                    </w:r>
                    <w:r w:rsidRPr="0080652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en-US"/>
                      </w:rPr>
                      <w:t>@coi.gov.cz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9BB0" w14:textId="77777777" w:rsidR="00F302BB" w:rsidRDefault="00F302BB" w:rsidP="00807D68">
      <w:pPr>
        <w:spacing w:after="0" w:line="240" w:lineRule="auto"/>
      </w:pPr>
      <w:r>
        <w:separator/>
      </w:r>
    </w:p>
  </w:footnote>
  <w:footnote w:type="continuationSeparator" w:id="0">
    <w:p w14:paraId="10BB4616" w14:textId="77777777" w:rsidR="00F302BB" w:rsidRDefault="00F302BB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94B"/>
    <w:multiLevelType w:val="hybridMultilevel"/>
    <w:tmpl w:val="1254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DA0"/>
    <w:multiLevelType w:val="hybridMultilevel"/>
    <w:tmpl w:val="1662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D7A4C"/>
    <w:multiLevelType w:val="hybridMultilevel"/>
    <w:tmpl w:val="DA22FC1E"/>
    <w:lvl w:ilvl="0" w:tplc="BF8A9C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01DB"/>
    <w:multiLevelType w:val="hybridMultilevel"/>
    <w:tmpl w:val="BE9C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F5F551B"/>
    <w:multiLevelType w:val="hybridMultilevel"/>
    <w:tmpl w:val="861C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5564328D"/>
    <w:multiLevelType w:val="hybridMultilevel"/>
    <w:tmpl w:val="3A30915A"/>
    <w:lvl w:ilvl="0" w:tplc="E0965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585D"/>
    <w:multiLevelType w:val="hybridMultilevel"/>
    <w:tmpl w:val="4AF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2DB4"/>
    <w:multiLevelType w:val="hybridMultilevel"/>
    <w:tmpl w:val="B854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73504">
    <w:abstractNumId w:val="2"/>
  </w:num>
  <w:num w:numId="2" w16cid:durableId="513879739">
    <w:abstractNumId w:val="14"/>
  </w:num>
  <w:num w:numId="3" w16cid:durableId="2052920723">
    <w:abstractNumId w:val="7"/>
  </w:num>
  <w:num w:numId="4" w16cid:durableId="1442922314">
    <w:abstractNumId w:val="15"/>
  </w:num>
  <w:num w:numId="5" w16cid:durableId="1812483706">
    <w:abstractNumId w:val="16"/>
  </w:num>
  <w:num w:numId="6" w16cid:durableId="2041544689">
    <w:abstractNumId w:val="9"/>
  </w:num>
  <w:num w:numId="7" w16cid:durableId="97410661">
    <w:abstractNumId w:val="8"/>
  </w:num>
  <w:num w:numId="8" w16cid:durableId="969164436">
    <w:abstractNumId w:val="4"/>
  </w:num>
  <w:num w:numId="9" w16cid:durableId="323824122">
    <w:abstractNumId w:val="11"/>
  </w:num>
  <w:num w:numId="10" w16cid:durableId="416053402">
    <w:abstractNumId w:val="5"/>
  </w:num>
  <w:num w:numId="11" w16cid:durableId="1280600414">
    <w:abstractNumId w:val="17"/>
  </w:num>
  <w:num w:numId="12" w16cid:durableId="681981078">
    <w:abstractNumId w:val="0"/>
  </w:num>
  <w:num w:numId="13" w16cid:durableId="587806848">
    <w:abstractNumId w:val="6"/>
  </w:num>
  <w:num w:numId="14" w16cid:durableId="2029330390">
    <w:abstractNumId w:val="13"/>
  </w:num>
  <w:num w:numId="15" w16cid:durableId="1059745948">
    <w:abstractNumId w:val="12"/>
  </w:num>
  <w:num w:numId="16" w16cid:durableId="900596287">
    <w:abstractNumId w:val="3"/>
  </w:num>
  <w:num w:numId="17" w16cid:durableId="298924260">
    <w:abstractNumId w:val="1"/>
  </w:num>
  <w:num w:numId="18" w16cid:durableId="1535190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16D10"/>
    <w:rsid w:val="0001789D"/>
    <w:rsid w:val="00024FF2"/>
    <w:rsid w:val="000266C9"/>
    <w:rsid w:val="00041789"/>
    <w:rsid w:val="00051DD8"/>
    <w:rsid w:val="00056E6A"/>
    <w:rsid w:val="000741E3"/>
    <w:rsid w:val="0009199E"/>
    <w:rsid w:val="00094405"/>
    <w:rsid w:val="000B3C18"/>
    <w:rsid w:val="000C3EFE"/>
    <w:rsid w:val="000D268B"/>
    <w:rsid w:val="000E2C64"/>
    <w:rsid w:val="001401CF"/>
    <w:rsid w:val="00142850"/>
    <w:rsid w:val="001472E1"/>
    <w:rsid w:val="00151CF6"/>
    <w:rsid w:val="00152827"/>
    <w:rsid w:val="00156FEF"/>
    <w:rsid w:val="00167F18"/>
    <w:rsid w:val="001B58A1"/>
    <w:rsid w:val="001C38DE"/>
    <w:rsid w:val="001D0E07"/>
    <w:rsid w:val="001D158E"/>
    <w:rsid w:val="001D5235"/>
    <w:rsid w:val="001E03F2"/>
    <w:rsid w:val="001F2757"/>
    <w:rsid w:val="0020122A"/>
    <w:rsid w:val="002012CC"/>
    <w:rsid w:val="00222FE5"/>
    <w:rsid w:val="00225F02"/>
    <w:rsid w:val="002506C6"/>
    <w:rsid w:val="002726E7"/>
    <w:rsid w:val="0027510E"/>
    <w:rsid w:val="00275DB2"/>
    <w:rsid w:val="00291DB1"/>
    <w:rsid w:val="00293137"/>
    <w:rsid w:val="002B4526"/>
    <w:rsid w:val="002B7C92"/>
    <w:rsid w:val="002C2749"/>
    <w:rsid w:val="002C3B1A"/>
    <w:rsid w:val="002F66F3"/>
    <w:rsid w:val="00333D84"/>
    <w:rsid w:val="0033467F"/>
    <w:rsid w:val="00350179"/>
    <w:rsid w:val="00364349"/>
    <w:rsid w:val="0037728A"/>
    <w:rsid w:val="003B6383"/>
    <w:rsid w:val="003D4892"/>
    <w:rsid w:val="003E3B85"/>
    <w:rsid w:val="003E7BA9"/>
    <w:rsid w:val="003F1C2E"/>
    <w:rsid w:val="003F2528"/>
    <w:rsid w:val="00432A70"/>
    <w:rsid w:val="0043419B"/>
    <w:rsid w:val="00440337"/>
    <w:rsid w:val="00450385"/>
    <w:rsid w:val="00453D2C"/>
    <w:rsid w:val="0046373B"/>
    <w:rsid w:val="004934BD"/>
    <w:rsid w:val="00493D8C"/>
    <w:rsid w:val="00494ACB"/>
    <w:rsid w:val="0049637D"/>
    <w:rsid w:val="004A131F"/>
    <w:rsid w:val="004A3BB4"/>
    <w:rsid w:val="004A3BFF"/>
    <w:rsid w:val="004B6C92"/>
    <w:rsid w:val="004C7528"/>
    <w:rsid w:val="004F0671"/>
    <w:rsid w:val="004F3AA9"/>
    <w:rsid w:val="00534379"/>
    <w:rsid w:val="00543504"/>
    <w:rsid w:val="00550B65"/>
    <w:rsid w:val="00553666"/>
    <w:rsid w:val="005545CE"/>
    <w:rsid w:val="00565851"/>
    <w:rsid w:val="005702A5"/>
    <w:rsid w:val="00572CFD"/>
    <w:rsid w:val="00577B57"/>
    <w:rsid w:val="005837B9"/>
    <w:rsid w:val="005864FF"/>
    <w:rsid w:val="005923C5"/>
    <w:rsid w:val="00592460"/>
    <w:rsid w:val="00592C1D"/>
    <w:rsid w:val="005A0FA4"/>
    <w:rsid w:val="005A3A49"/>
    <w:rsid w:val="005B2A55"/>
    <w:rsid w:val="005B423B"/>
    <w:rsid w:val="005B713A"/>
    <w:rsid w:val="005B7CCE"/>
    <w:rsid w:val="005C435F"/>
    <w:rsid w:val="005D105B"/>
    <w:rsid w:val="005D528E"/>
    <w:rsid w:val="005E3D23"/>
    <w:rsid w:val="005E7886"/>
    <w:rsid w:val="005F776A"/>
    <w:rsid w:val="0060731F"/>
    <w:rsid w:val="0061127C"/>
    <w:rsid w:val="006138C0"/>
    <w:rsid w:val="00622F40"/>
    <w:rsid w:val="0062305C"/>
    <w:rsid w:val="00643C96"/>
    <w:rsid w:val="00653A86"/>
    <w:rsid w:val="00656822"/>
    <w:rsid w:val="00663C7B"/>
    <w:rsid w:val="00681DA5"/>
    <w:rsid w:val="006849AE"/>
    <w:rsid w:val="006B6A4B"/>
    <w:rsid w:val="006D428D"/>
    <w:rsid w:val="006D7B69"/>
    <w:rsid w:val="006E3BFD"/>
    <w:rsid w:val="006F4540"/>
    <w:rsid w:val="006F6413"/>
    <w:rsid w:val="0070124B"/>
    <w:rsid w:val="00713EA7"/>
    <w:rsid w:val="00721F45"/>
    <w:rsid w:val="00722ADF"/>
    <w:rsid w:val="0073078E"/>
    <w:rsid w:val="00732996"/>
    <w:rsid w:val="00735ACA"/>
    <w:rsid w:val="00735C36"/>
    <w:rsid w:val="00735F52"/>
    <w:rsid w:val="00750EB0"/>
    <w:rsid w:val="00752488"/>
    <w:rsid w:val="00760A0A"/>
    <w:rsid w:val="007705F7"/>
    <w:rsid w:val="00771930"/>
    <w:rsid w:val="00772B97"/>
    <w:rsid w:val="00785B52"/>
    <w:rsid w:val="007A133A"/>
    <w:rsid w:val="007B4263"/>
    <w:rsid w:val="007C281E"/>
    <w:rsid w:val="007C3195"/>
    <w:rsid w:val="007C40CF"/>
    <w:rsid w:val="007D497F"/>
    <w:rsid w:val="007E237F"/>
    <w:rsid w:val="007E26E9"/>
    <w:rsid w:val="008078D2"/>
    <w:rsid w:val="00807D68"/>
    <w:rsid w:val="008118AE"/>
    <w:rsid w:val="00821C27"/>
    <w:rsid w:val="008272FD"/>
    <w:rsid w:val="00827C92"/>
    <w:rsid w:val="00834AD5"/>
    <w:rsid w:val="0086190A"/>
    <w:rsid w:val="008632A4"/>
    <w:rsid w:val="00867D43"/>
    <w:rsid w:val="008759EC"/>
    <w:rsid w:val="008764CE"/>
    <w:rsid w:val="00885497"/>
    <w:rsid w:val="00890135"/>
    <w:rsid w:val="0089254F"/>
    <w:rsid w:val="0089409E"/>
    <w:rsid w:val="0089584F"/>
    <w:rsid w:val="008A156F"/>
    <w:rsid w:val="008A1E7D"/>
    <w:rsid w:val="008E0FC4"/>
    <w:rsid w:val="008F22C0"/>
    <w:rsid w:val="008F3794"/>
    <w:rsid w:val="0090767D"/>
    <w:rsid w:val="00917CF5"/>
    <w:rsid w:val="0092339C"/>
    <w:rsid w:val="00923837"/>
    <w:rsid w:val="009244D5"/>
    <w:rsid w:val="009266E9"/>
    <w:rsid w:val="009343C4"/>
    <w:rsid w:val="0094296D"/>
    <w:rsid w:val="00947BEF"/>
    <w:rsid w:val="00955DA0"/>
    <w:rsid w:val="0095635E"/>
    <w:rsid w:val="00961809"/>
    <w:rsid w:val="009665AF"/>
    <w:rsid w:val="00967EDD"/>
    <w:rsid w:val="00970F06"/>
    <w:rsid w:val="00971704"/>
    <w:rsid w:val="00973692"/>
    <w:rsid w:val="009E32D6"/>
    <w:rsid w:val="009F2D9C"/>
    <w:rsid w:val="00A03AD0"/>
    <w:rsid w:val="00A04DA8"/>
    <w:rsid w:val="00A25EA9"/>
    <w:rsid w:val="00A57931"/>
    <w:rsid w:val="00A66848"/>
    <w:rsid w:val="00A7148C"/>
    <w:rsid w:val="00A722B2"/>
    <w:rsid w:val="00A81783"/>
    <w:rsid w:val="00A8716E"/>
    <w:rsid w:val="00A95A44"/>
    <w:rsid w:val="00AD2EE9"/>
    <w:rsid w:val="00AD7F1B"/>
    <w:rsid w:val="00B14B7E"/>
    <w:rsid w:val="00B205BA"/>
    <w:rsid w:val="00B20F24"/>
    <w:rsid w:val="00B33E3A"/>
    <w:rsid w:val="00B40171"/>
    <w:rsid w:val="00B44F4B"/>
    <w:rsid w:val="00B47405"/>
    <w:rsid w:val="00B6514F"/>
    <w:rsid w:val="00B7056B"/>
    <w:rsid w:val="00B97A9C"/>
    <w:rsid w:val="00BE29F2"/>
    <w:rsid w:val="00BF01FF"/>
    <w:rsid w:val="00BF5CA1"/>
    <w:rsid w:val="00C136C8"/>
    <w:rsid w:val="00C241B4"/>
    <w:rsid w:val="00C41758"/>
    <w:rsid w:val="00C43D14"/>
    <w:rsid w:val="00C4704F"/>
    <w:rsid w:val="00C66BBF"/>
    <w:rsid w:val="00C826FB"/>
    <w:rsid w:val="00C937E8"/>
    <w:rsid w:val="00C97D46"/>
    <w:rsid w:val="00CB6F4F"/>
    <w:rsid w:val="00CC179A"/>
    <w:rsid w:val="00CC508C"/>
    <w:rsid w:val="00CD11D7"/>
    <w:rsid w:val="00CE40CA"/>
    <w:rsid w:val="00CE5986"/>
    <w:rsid w:val="00CF0332"/>
    <w:rsid w:val="00CF39B0"/>
    <w:rsid w:val="00CF6F01"/>
    <w:rsid w:val="00D00046"/>
    <w:rsid w:val="00D05E07"/>
    <w:rsid w:val="00D100A7"/>
    <w:rsid w:val="00D12F17"/>
    <w:rsid w:val="00D13935"/>
    <w:rsid w:val="00D2107A"/>
    <w:rsid w:val="00D230ED"/>
    <w:rsid w:val="00D329DD"/>
    <w:rsid w:val="00D56037"/>
    <w:rsid w:val="00D66CD2"/>
    <w:rsid w:val="00D763A0"/>
    <w:rsid w:val="00D86729"/>
    <w:rsid w:val="00D93F3C"/>
    <w:rsid w:val="00D966A5"/>
    <w:rsid w:val="00DA77FD"/>
    <w:rsid w:val="00DB159A"/>
    <w:rsid w:val="00DC5B7E"/>
    <w:rsid w:val="00DC78D1"/>
    <w:rsid w:val="00DD5B22"/>
    <w:rsid w:val="00DE1E58"/>
    <w:rsid w:val="00DF3DDD"/>
    <w:rsid w:val="00DF74CC"/>
    <w:rsid w:val="00E01D17"/>
    <w:rsid w:val="00E061A5"/>
    <w:rsid w:val="00E17BF0"/>
    <w:rsid w:val="00E22478"/>
    <w:rsid w:val="00E2519C"/>
    <w:rsid w:val="00E26DC2"/>
    <w:rsid w:val="00E27FB5"/>
    <w:rsid w:val="00E42A53"/>
    <w:rsid w:val="00E53779"/>
    <w:rsid w:val="00E53D4A"/>
    <w:rsid w:val="00E561BC"/>
    <w:rsid w:val="00E74A27"/>
    <w:rsid w:val="00E83DA0"/>
    <w:rsid w:val="00E90D9C"/>
    <w:rsid w:val="00EA1D75"/>
    <w:rsid w:val="00EA39B4"/>
    <w:rsid w:val="00EA7713"/>
    <w:rsid w:val="00ED3428"/>
    <w:rsid w:val="00ED4CDF"/>
    <w:rsid w:val="00EF09B2"/>
    <w:rsid w:val="00EF3E1F"/>
    <w:rsid w:val="00F168AF"/>
    <w:rsid w:val="00F302BB"/>
    <w:rsid w:val="00F3196E"/>
    <w:rsid w:val="00F34A6A"/>
    <w:rsid w:val="00F4039A"/>
    <w:rsid w:val="00F53C17"/>
    <w:rsid w:val="00F55D33"/>
    <w:rsid w:val="00F61906"/>
    <w:rsid w:val="00F70880"/>
    <w:rsid w:val="00F71B6C"/>
    <w:rsid w:val="00F8632E"/>
    <w:rsid w:val="00F90358"/>
    <w:rsid w:val="00FB39B8"/>
    <w:rsid w:val="00FB4BAB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4FF2"/>
    <w:pPr>
      <w:keepNext/>
      <w:keepLines/>
      <w:spacing w:before="120" w:after="240"/>
      <w:jc w:val="both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28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24FF2"/>
    <w:rPr>
      <w:rFonts w:ascii="Arial" w:eastAsiaTheme="majorEastAsia" w:hAnsi="Arial" w:cstheme="majorBidi"/>
      <w:b/>
      <w:szCs w:val="24"/>
    </w:rPr>
  </w:style>
  <w:style w:type="character" w:customStyle="1" w:styleId="CharStyle6">
    <w:name w:val="Char Style 6"/>
    <w:link w:val="Style4"/>
    <w:uiPriority w:val="99"/>
    <w:locked/>
    <w:rsid w:val="00024FF2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6"/>
    <w:uiPriority w:val="99"/>
    <w:rsid w:val="00024FF2"/>
    <w:pPr>
      <w:widowControl w:val="0"/>
      <w:shd w:val="clear" w:color="auto" w:fill="FFFFFF"/>
      <w:spacing w:after="0" w:line="209" w:lineRule="exact"/>
      <w:ind w:hanging="340"/>
      <w:jc w:val="both"/>
    </w:pPr>
    <w:rPr>
      <w:rFonts w:ascii="Arial" w:hAnsi="Arial" w:cs="Arial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750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0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0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EB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4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27</cp:revision>
  <cp:lastPrinted>2025-01-14T15:40:00Z</cp:lastPrinted>
  <dcterms:created xsi:type="dcterms:W3CDTF">2025-06-23T09:00:00Z</dcterms:created>
  <dcterms:modified xsi:type="dcterms:W3CDTF">2025-06-23T13:12:00Z</dcterms:modified>
</cp:coreProperties>
</file>