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1C2F9" w14:textId="77777777" w:rsidR="005E4BF1" w:rsidRPr="00A27586" w:rsidRDefault="005E4BF1" w:rsidP="005E4BF1">
      <w:pPr>
        <w:jc w:val="both"/>
        <w:rPr>
          <w:b/>
          <w:color w:val="005698"/>
          <w:sz w:val="24"/>
          <w:szCs w:val="24"/>
          <w:lang w:val="cs-CZ"/>
        </w:rPr>
      </w:pPr>
    </w:p>
    <w:p w14:paraId="5891C3EA" w14:textId="77777777" w:rsidR="005E4BF1" w:rsidRPr="00A27586" w:rsidRDefault="005E4BF1" w:rsidP="005E4BF1">
      <w:pPr>
        <w:jc w:val="right"/>
        <w:rPr>
          <w:b/>
          <w:color w:val="005698"/>
          <w:sz w:val="24"/>
          <w:szCs w:val="24"/>
          <w:lang w:val="cs-CZ"/>
        </w:rPr>
      </w:pPr>
      <w:r w:rsidRPr="00A27586">
        <w:rPr>
          <w:b/>
          <w:color w:val="005698"/>
          <w:sz w:val="24"/>
          <w:szCs w:val="24"/>
          <w:lang w:val="cs-CZ"/>
        </w:rPr>
        <w:t>Tisková zpráva Evropského spotřebitelského centra při ČOI</w:t>
      </w:r>
    </w:p>
    <w:p w14:paraId="6B15D2B4" w14:textId="77777777" w:rsidR="005E4BF1" w:rsidRPr="00A27586" w:rsidRDefault="005E4BF1" w:rsidP="005E4BF1">
      <w:pPr>
        <w:spacing w:line="276" w:lineRule="auto"/>
        <w:jc w:val="both"/>
        <w:rPr>
          <w:b/>
          <w:sz w:val="24"/>
          <w:szCs w:val="24"/>
          <w:lang w:val="cs-CZ"/>
        </w:rPr>
      </w:pPr>
    </w:p>
    <w:p w14:paraId="78F4BA89" w14:textId="5D4E54B1" w:rsidR="00A27586" w:rsidRPr="00A27586" w:rsidRDefault="00A27586" w:rsidP="00A27586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iCs/>
          <w:color w:val="01539C"/>
          <w:kern w:val="36"/>
          <w:sz w:val="40"/>
          <w:szCs w:val="48"/>
          <w:lang w:val="cs-CZ" w:eastAsia="cs-CZ"/>
        </w:rPr>
      </w:pPr>
      <w:r w:rsidRPr="00A27586">
        <w:rPr>
          <w:rFonts w:asciiTheme="minorHAnsi" w:eastAsia="Times New Roman" w:hAnsiTheme="minorHAnsi" w:cstheme="minorHAnsi"/>
          <w:b/>
          <w:bCs/>
          <w:iCs/>
          <w:color w:val="01539C"/>
          <w:kern w:val="36"/>
          <w:sz w:val="40"/>
          <w:szCs w:val="48"/>
          <w:lang w:val="cs-CZ" w:eastAsia="cs-CZ"/>
        </w:rPr>
        <w:t>Spotřebitelské spory řeší centrum s úspěšností nad 60 %</w:t>
      </w:r>
    </w:p>
    <w:p w14:paraId="5FA50A89" w14:textId="4658DBFB" w:rsidR="00A27586" w:rsidRPr="00A27586" w:rsidRDefault="00A27586" w:rsidP="00A27586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sz w:val="24"/>
          <w:szCs w:val="24"/>
          <w:lang w:val="cs-CZ" w:eastAsia="cs-CZ"/>
        </w:rPr>
      </w:pPr>
      <w:r w:rsidRPr="00A27586">
        <w:rPr>
          <w:rFonts w:asciiTheme="minorHAnsi" w:eastAsia="Times New Roman" w:hAnsiTheme="minorHAnsi" w:cstheme="minorHAnsi"/>
          <w:b/>
          <w:bCs/>
          <w:i/>
          <w:iCs/>
          <w:sz w:val="24"/>
          <w:szCs w:val="24"/>
          <w:lang w:val="cs-CZ" w:eastAsia="cs-CZ"/>
        </w:rPr>
        <w:t>(Praha, 1</w:t>
      </w:r>
      <w:r w:rsidR="00C36229">
        <w:rPr>
          <w:rFonts w:asciiTheme="minorHAnsi" w:eastAsia="Times New Roman" w:hAnsiTheme="minorHAnsi" w:cstheme="minorHAnsi"/>
          <w:b/>
          <w:bCs/>
          <w:i/>
          <w:iCs/>
          <w:sz w:val="24"/>
          <w:szCs w:val="24"/>
          <w:lang w:val="cs-CZ" w:eastAsia="cs-CZ"/>
        </w:rPr>
        <w:t>5</w:t>
      </w:r>
      <w:r w:rsidRPr="00A27586">
        <w:rPr>
          <w:rFonts w:asciiTheme="minorHAnsi" w:eastAsia="Times New Roman" w:hAnsiTheme="minorHAnsi" w:cstheme="minorHAnsi"/>
          <w:b/>
          <w:bCs/>
          <w:i/>
          <w:iCs/>
          <w:sz w:val="24"/>
          <w:szCs w:val="24"/>
          <w:lang w:val="cs-CZ" w:eastAsia="cs-CZ"/>
        </w:rPr>
        <w:t>. srpen 2025)</w:t>
      </w:r>
      <w:r w:rsidRPr="00A27586">
        <w:rPr>
          <w:rFonts w:asciiTheme="minorHAnsi" w:eastAsia="Times New Roman" w:hAnsiTheme="minorHAnsi" w:cstheme="minorHAnsi"/>
          <w:b/>
          <w:bCs/>
          <w:sz w:val="24"/>
          <w:szCs w:val="24"/>
          <w:lang w:val="cs-CZ" w:eastAsia="cs-CZ"/>
        </w:rPr>
        <w:t xml:space="preserve"> Při potížích s podnikateli z jiných zemí EU pomáhá bezplatně Evropské spotřebitelské centrum Česko. Z více než 1100 sporů vyřešilo úspěšně 61 %, a to mimosoudní cestou. Dalším bezmála 1500 lidí poskytlo radu, jak postupovat v problémové situaci, jak se vyhnout podvodům na internetu nebo jak nenaletět na dovolené. Letecká doprava, ubytovací služby a pronájmy automobilů jsou nejčastějšími oblastmi, kterými se centrum v letním období zabývá.</w:t>
      </w:r>
    </w:p>
    <w:p w14:paraId="599211D8" w14:textId="456904BD" w:rsidR="00A27586" w:rsidRPr="00A27586" w:rsidRDefault="00A27586" w:rsidP="00A27586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val="cs-CZ" w:eastAsia="cs-CZ"/>
        </w:rPr>
      </w:pPr>
      <w:r w:rsidRPr="00A27586">
        <w:rPr>
          <w:rFonts w:asciiTheme="minorHAnsi" w:eastAsia="Times New Roman" w:hAnsiTheme="minorHAnsi" w:cstheme="minorHAnsi"/>
          <w:sz w:val="24"/>
          <w:szCs w:val="24"/>
          <w:lang w:val="cs-CZ" w:eastAsia="cs-CZ"/>
        </w:rPr>
        <w:t>„Vždy je dobré předem si přečíst recenze, přesný popis ubytování a podobně. Jeden z řešených sporů vznikl proto, že si česká rodina mylně vyložila popis přístupu k zahradě v jedné italské rezidenci – garantován byl jen výhled do ní, a nikoli terasa, jak Češi požadovali,“ uvádí Ondřej Tichota, ředitel Evropského spotřebitelského centra, a dokládá, že o spokojenosti s dovolenou mohou rozhodovat detaily.</w:t>
      </w:r>
    </w:p>
    <w:p w14:paraId="53C370C5" w14:textId="2042AF15" w:rsidR="00A27586" w:rsidRPr="00A27586" w:rsidRDefault="00A27586" w:rsidP="00A27586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val="cs-CZ" w:eastAsia="cs-CZ"/>
        </w:rPr>
      </w:pPr>
      <w:r w:rsidRPr="00A27586">
        <w:rPr>
          <w:rFonts w:asciiTheme="minorHAnsi" w:eastAsia="Times New Roman" w:hAnsiTheme="minorHAnsi" w:cstheme="minorHAnsi"/>
          <w:sz w:val="24"/>
          <w:szCs w:val="24"/>
          <w:lang w:val="cs-CZ" w:eastAsia="cs-CZ"/>
        </w:rPr>
        <w:t xml:space="preserve">Nejčastější oblastí sporů řešených v unijní síti 29 Evropských spotřebitelských center (ECC-Net) je letecká doprava, resp. vracení peněz a náhrady škody v případě zpoždění či rušení letů. „V nich mohou cestující žádat kompenzace ve výši až 600 eur v případě problémů s lety a až zhruba 35 000 korun v případě potíží se zavazadly,“ vypočítává Ondřej Tichota. </w:t>
      </w:r>
    </w:p>
    <w:p w14:paraId="0BCA2596" w14:textId="246B07F3" w:rsidR="00A27586" w:rsidRPr="00A27586" w:rsidRDefault="00A27586" w:rsidP="00A27586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val="cs-CZ" w:eastAsia="cs-CZ"/>
        </w:rPr>
      </w:pPr>
      <w:r w:rsidRPr="00A27586">
        <w:rPr>
          <w:rFonts w:asciiTheme="minorHAnsi" w:eastAsia="Times New Roman" w:hAnsiTheme="minorHAnsi" w:cstheme="minorHAnsi"/>
          <w:sz w:val="24"/>
          <w:szCs w:val="24"/>
          <w:lang w:val="cs-CZ" w:eastAsia="cs-CZ"/>
        </w:rPr>
        <w:t xml:space="preserve">I na dovolených stále více lidí využívá online služby, což se propisuje i do práce ESC. Mezi úspěšně vyřešené případy patřil ten, ve kterém český spotřebitel ukončil zkušební verzi softwaru ještě před vypršením sedmidenního zkušebního období, přesto mu poskytovatel stáhl z účtu částku 24,19 </w:t>
      </w:r>
      <w:r>
        <w:rPr>
          <w:rFonts w:asciiTheme="minorHAnsi" w:eastAsia="Times New Roman" w:hAnsiTheme="minorHAnsi" w:cstheme="minorHAnsi"/>
          <w:sz w:val="24"/>
          <w:szCs w:val="24"/>
          <w:lang w:val="cs-CZ" w:eastAsia="cs-CZ"/>
        </w:rPr>
        <w:t>eur</w:t>
      </w:r>
      <w:r w:rsidRPr="00A27586">
        <w:rPr>
          <w:rFonts w:asciiTheme="minorHAnsi" w:eastAsia="Times New Roman" w:hAnsiTheme="minorHAnsi" w:cstheme="minorHAnsi"/>
          <w:sz w:val="24"/>
          <w:szCs w:val="24"/>
          <w:lang w:val="cs-CZ" w:eastAsia="cs-CZ"/>
        </w:rPr>
        <w:t xml:space="preserve">. Navíc došlo k dalšímu neoprávněnému stržení stejné částky a požadavku na úhradu dalších 120,94 € za automaticky prodloužené předplatné. Na spotřebitelovy výzvy firma vůbec nereagovala. Po zásahu ECC-Net obchodník uznal pochybení, omluvil se a vrátil celkem 48,38 </w:t>
      </w:r>
      <w:r>
        <w:rPr>
          <w:rFonts w:asciiTheme="minorHAnsi" w:eastAsia="Times New Roman" w:hAnsiTheme="minorHAnsi" w:cstheme="minorHAnsi"/>
          <w:sz w:val="24"/>
          <w:szCs w:val="24"/>
          <w:lang w:val="cs-CZ" w:eastAsia="cs-CZ"/>
        </w:rPr>
        <w:t>eur</w:t>
      </w:r>
      <w:r w:rsidRPr="00A27586">
        <w:rPr>
          <w:rFonts w:asciiTheme="minorHAnsi" w:eastAsia="Times New Roman" w:hAnsiTheme="minorHAnsi" w:cstheme="minorHAnsi"/>
          <w:sz w:val="24"/>
          <w:szCs w:val="24"/>
          <w:lang w:val="cs-CZ" w:eastAsia="cs-CZ"/>
        </w:rPr>
        <w:t>a zrušil požadavek na další platbu.</w:t>
      </w:r>
    </w:p>
    <w:p w14:paraId="6510B42C" w14:textId="12A0DE2D" w:rsidR="00A27586" w:rsidRPr="00A27586" w:rsidRDefault="00A27586" w:rsidP="00A27586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val="cs-CZ" w:eastAsia="cs-CZ"/>
        </w:rPr>
      </w:pPr>
      <w:r w:rsidRPr="00A27586">
        <w:rPr>
          <w:rFonts w:asciiTheme="minorHAnsi" w:eastAsia="Times New Roman" w:hAnsiTheme="minorHAnsi" w:cstheme="minorHAnsi"/>
          <w:sz w:val="24"/>
          <w:szCs w:val="24"/>
          <w:lang w:val="cs-CZ" w:eastAsia="cs-CZ"/>
        </w:rPr>
        <w:t xml:space="preserve">Řada spotřebitelů oceňuje praktickou pomoc, jako například pan Stanislav Ž.: </w:t>
      </w:r>
      <w:r w:rsidRPr="00A27586">
        <w:rPr>
          <w:rFonts w:asciiTheme="minorHAnsi" w:eastAsia="Times New Roman" w:hAnsiTheme="minorHAnsi" w:cstheme="minorHAnsi"/>
          <w:i/>
          <w:iCs/>
          <w:sz w:val="24"/>
          <w:szCs w:val="24"/>
          <w:lang w:val="cs-CZ" w:eastAsia="cs-CZ"/>
        </w:rPr>
        <w:t>"Musím přiznat, že jsem nevěřil v pozitivní, a navíc tak rychlé řešení. O to víc si cením vaší pomoci, určitě jste museli použít značnou dávku diplomacie k dosažení takového výsledku. Přiložený výpis z účtu potvrzuje, že obě platby jsou zpět na mém účtu."</w:t>
      </w:r>
    </w:p>
    <w:p w14:paraId="4CDCDD2A" w14:textId="77777777" w:rsidR="00A27586" w:rsidRPr="00A27586" w:rsidRDefault="00A27586" w:rsidP="00A27586">
      <w:p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val="cs-CZ" w:eastAsia="cs-CZ"/>
        </w:rPr>
      </w:pPr>
      <w:r w:rsidRPr="00A27586">
        <w:rPr>
          <w:rFonts w:asciiTheme="minorHAnsi" w:eastAsia="Times New Roman" w:hAnsiTheme="minorHAnsi" w:cstheme="minorHAnsi"/>
          <w:sz w:val="24"/>
          <w:szCs w:val="24"/>
          <w:lang w:val="cs-CZ" w:eastAsia="cs-CZ"/>
        </w:rPr>
        <w:t xml:space="preserve">ESC Česko působí při České obchodní inspekci a pokračuje ve své činnosti i v roce 2025, kdy si připomíná 20 let svého působení ve prospěch férových vztahů mezi spotřebiteli a podnikateli na jednotném trhu EU. Činnost unijní sítě ESC je financována Evropskou komisí a zúčastněnými státy. Více informací o právech spotřebitelů mohou lidé najít na </w:t>
      </w:r>
      <w:hyperlink r:id="rId7" w:history="1">
        <w:r w:rsidRPr="00A27586">
          <w:rPr>
            <w:rStyle w:val="Hypertextovodkaz"/>
            <w:rFonts w:asciiTheme="minorHAnsi" w:eastAsia="Times New Roman" w:hAnsiTheme="minorHAnsi" w:cstheme="minorHAnsi"/>
            <w:sz w:val="24"/>
            <w:szCs w:val="24"/>
            <w:lang w:val="cs-CZ" w:eastAsia="cs-CZ"/>
          </w:rPr>
          <w:t>www.evropskyspotrebitel.gov.cz</w:t>
        </w:r>
      </w:hyperlink>
      <w:r w:rsidRPr="00A27586">
        <w:rPr>
          <w:rFonts w:asciiTheme="minorHAnsi" w:eastAsia="Times New Roman" w:hAnsiTheme="minorHAnsi" w:cstheme="minorHAnsi"/>
          <w:sz w:val="24"/>
          <w:szCs w:val="24"/>
          <w:lang w:val="cs-CZ" w:eastAsia="cs-CZ"/>
        </w:rPr>
        <w:t>.</w:t>
      </w:r>
    </w:p>
    <w:p w14:paraId="501D84A6" w14:textId="77777777" w:rsidR="00A27586" w:rsidRPr="00A27586" w:rsidRDefault="00A27586" w:rsidP="00A27586">
      <w:pPr>
        <w:rPr>
          <w:rFonts w:asciiTheme="minorHAnsi" w:hAnsiTheme="minorHAnsi" w:cstheme="minorHAnsi"/>
          <w:lang w:val="cs-CZ"/>
        </w:rPr>
      </w:pPr>
    </w:p>
    <w:p w14:paraId="7C7C6142" w14:textId="77777777" w:rsidR="004507E3" w:rsidRPr="00A27586" w:rsidRDefault="005E4BF1" w:rsidP="0074674D">
      <w:pPr>
        <w:spacing w:line="276" w:lineRule="auto"/>
        <w:jc w:val="both"/>
        <w:rPr>
          <w:rFonts w:asciiTheme="minorHAnsi" w:hAnsiTheme="minorHAnsi" w:cstheme="minorHAnsi"/>
          <w:i/>
          <w:lang w:val="cs-CZ"/>
        </w:rPr>
      </w:pPr>
      <w:r w:rsidRPr="00A27586">
        <w:rPr>
          <w:rFonts w:asciiTheme="minorHAnsi" w:hAnsiTheme="minorHAnsi" w:cstheme="minorHAnsi"/>
          <w:b/>
          <w:i/>
          <w:lang w:val="cs-CZ"/>
        </w:rPr>
        <w:br/>
        <w:t>Kontakt pro média:</w:t>
      </w:r>
      <w:r w:rsidRPr="00A27586">
        <w:rPr>
          <w:rFonts w:asciiTheme="minorHAnsi" w:hAnsiTheme="minorHAnsi" w:cstheme="minorHAnsi"/>
          <w:i/>
          <w:lang w:val="cs-CZ"/>
        </w:rPr>
        <w:t xml:space="preserve"> </w:t>
      </w:r>
    </w:p>
    <w:p w14:paraId="45E3F1AA" w14:textId="632982AE" w:rsidR="004507E3" w:rsidRPr="00A27586" w:rsidRDefault="005E4BF1" w:rsidP="0074674D">
      <w:pPr>
        <w:spacing w:line="276" w:lineRule="auto"/>
        <w:jc w:val="both"/>
        <w:rPr>
          <w:rFonts w:asciiTheme="minorHAnsi" w:hAnsiTheme="minorHAnsi" w:cstheme="minorHAnsi"/>
          <w:lang w:val="cs-CZ"/>
        </w:rPr>
      </w:pPr>
      <w:r w:rsidRPr="00A27586">
        <w:rPr>
          <w:rFonts w:asciiTheme="minorHAnsi" w:hAnsiTheme="minorHAnsi" w:cstheme="minorHAnsi"/>
          <w:lang w:val="cs-CZ"/>
        </w:rPr>
        <w:t>Ondřej Ticho</w:t>
      </w:r>
      <w:r w:rsidR="004507E3" w:rsidRPr="00A27586">
        <w:rPr>
          <w:rFonts w:asciiTheme="minorHAnsi" w:hAnsiTheme="minorHAnsi" w:cstheme="minorHAnsi"/>
          <w:lang w:val="cs-CZ"/>
        </w:rPr>
        <w:t>ta, ředitel ESC Česko</w:t>
      </w:r>
    </w:p>
    <w:p w14:paraId="6C781B69" w14:textId="20D58311" w:rsidR="002E5BBB" w:rsidRPr="00A27586" w:rsidRDefault="005E4BF1" w:rsidP="0074674D">
      <w:pPr>
        <w:spacing w:line="276" w:lineRule="auto"/>
        <w:jc w:val="both"/>
        <w:rPr>
          <w:rFonts w:asciiTheme="minorHAnsi" w:hAnsiTheme="minorHAnsi" w:cstheme="minorHAnsi"/>
          <w:lang w:val="cs-CZ"/>
        </w:rPr>
      </w:pPr>
      <w:r w:rsidRPr="00A27586">
        <w:rPr>
          <w:rFonts w:asciiTheme="minorHAnsi" w:hAnsiTheme="minorHAnsi" w:cstheme="minorHAnsi"/>
          <w:lang w:val="cs-CZ"/>
        </w:rPr>
        <w:t xml:space="preserve">731 553 653, </w:t>
      </w:r>
      <w:hyperlink r:id="rId8" w:history="1">
        <w:r w:rsidRPr="00A27586">
          <w:rPr>
            <w:rStyle w:val="Hypertextovodkaz"/>
            <w:rFonts w:asciiTheme="minorHAnsi" w:hAnsiTheme="minorHAnsi" w:cstheme="minorHAnsi"/>
            <w:lang w:val="cs-CZ"/>
          </w:rPr>
          <w:t>otichota@coi.cz</w:t>
        </w:r>
      </w:hyperlink>
      <w:r w:rsidR="000E029E">
        <w:rPr>
          <w:rStyle w:val="Hypertextovodkaz"/>
          <w:rFonts w:asciiTheme="minorHAnsi" w:hAnsiTheme="minorHAnsi" w:cstheme="minorHAnsi"/>
          <w:lang w:val="cs-CZ"/>
        </w:rPr>
        <w:t xml:space="preserve"> </w:t>
      </w:r>
    </w:p>
    <w:sectPr w:rsidR="002E5BBB" w:rsidRPr="00A27586" w:rsidSect="00D76907">
      <w:headerReference w:type="default" r:id="rId9"/>
      <w:footerReference w:type="default" r:id="rId10"/>
      <w:pgSz w:w="11910" w:h="16840"/>
      <w:pgMar w:top="1276" w:right="1134" w:bottom="851" w:left="1134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24699" w14:textId="77777777" w:rsidR="001351F1" w:rsidRDefault="001351F1">
      <w:r>
        <w:separator/>
      </w:r>
    </w:p>
  </w:endnote>
  <w:endnote w:type="continuationSeparator" w:id="0">
    <w:p w14:paraId="1E1A386D" w14:textId="77777777" w:rsidR="001351F1" w:rsidRDefault="00135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MyriadPro-Light">
    <w:altName w:val="Times New Roman"/>
    <w:charset w:val="00"/>
    <w:family w:val="auto"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21CB1" w14:textId="71E4CDB2" w:rsidR="008E4CCD" w:rsidRDefault="008E4CCD" w:rsidP="00A92A6C">
    <w:pPr>
      <w:pStyle w:val="Zpat"/>
      <w:tabs>
        <w:tab w:val="clear" w:pos="4536"/>
        <w:tab w:val="clear" w:pos="9072"/>
        <w:tab w:val="left" w:pos="5480"/>
      </w:tabs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9C360DE" wp14:editId="465265B6">
              <wp:simplePos x="0" y="0"/>
              <wp:positionH relativeFrom="column">
                <wp:posOffset>-95250</wp:posOffset>
              </wp:positionH>
              <wp:positionV relativeFrom="paragraph">
                <wp:posOffset>53340</wp:posOffset>
              </wp:positionV>
              <wp:extent cx="6312535" cy="685165"/>
              <wp:effectExtent l="0" t="0" r="0" b="635"/>
              <wp:wrapNone/>
              <wp:docPr id="41" name="Textfeld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12535" cy="685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BFBF44" w14:textId="1DD089CC" w:rsidR="008E4CCD" w:rsidRPr="000612C3" w:rsidRDefault="008E4CCD" w:rsidP="00E71A37">
                          <w:pPr>
                            <w:rPr>
                              <w:rFonts w:eastAsiaTheme="minorHAnsi"/>
                              <w:sz w:val="12"/>
                              <w:szCs w:val="12"/>
                              <w:lang w:val="cs-CZ"/>
                            </w:rPr>
                          </w:pPr>
                          <w:r w:rsidRPr="000612C3">
                            <w:rPr>
                              <w:rFonts w:eastAsiaTheme="minorHAnsi"/>
                              <w:sz w:val="12"/>
                              <w:szCs w:val="12"/>
                              <w:lang w:val="cs-CZ"/>
                            </w:rPr>
                            <w:t>Tato tisková zpráva byla financována Evropskou unií. Obsah této vizuální prezentace vyjadřuje pouze názory autora a je na jeho výhradní odpovědnost; nelze ji považovat za vyjádření názorů Evropské komise a/nebo Evropské rady pro inovace a Výkonné agentury pro malé a střední podniky (EISMEA) nebo jakéhokoli jiného orgánu Evropské unie. Evropská komise a agentura nenesou žádnou odpovědnost za případné využití informací v něm obsažených.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C360DE" id="_x0000_t202" coordsize="21600,21600" o:spt="202" path="m,l,21600r21600,l21600,xe">
              <v:stroke joinstyle="miter"/>
              <v:path gradientshapeok="t" o:connecttype="rect"/>
            </v:shapetype>
            <v:shape id="Textfeld 41" o:spid="_x0000_s1026" type="#_x0000_t202" style="position:absolute;margin-left:-7.5pt;margin-top:4.2pt;width:497.05pt;height:53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" filled="f" stroked="f">
              <v:textbox>
                <w:txbxContent>
                  <w:p w14:paraId="7EBFBF44" w14:textId="1DD089CC" w:rsidR="008E4CCD" w:rsidRPr="000612C3" w:rsidRDefault="008E4CCD" w:rsidP="00E71A37">
                    <w:pPr>
                      <w:rPr>
                        <w:rFonts w:eastAsiaTheme="minorHAnsi"/>
                        <w:sz w:val="12"/>
                        <w:szCs w:val="12"/>
                        <w:lang w:val="cs-CZ"/>
                      </w:rPr>
                    </w:pPr>
                    <w:r w:rsidRPr="000612C3">
                      <w:rPr>
                        <w:rFonts w:eastAsiaTheme="minorHAnsi"/>
                        <w:sz w:val="12"/>
                        <w:szCs w:val="12"/>
                        <w:lang w:val="cs-CZ"/>
                      </w:rPr>
                      <w:t>Tato tisková zpráva byla financována Evropskou unií. Obsah této vizuální prezentace vyjadřuje pouze názory autora a je na jeho výhradní odpovědnost; nelze ji považovat za vyjádření názorů Evropské komise a/nebo Evropské rady pro inovace a Výkonné agentury pro malé a střední podniky (EISMEA) nebo jakéhokoli jiného orgánu Evropské unie. Evropská komise a agentura nenesou žádnou odpovědnost za případné využití informací v něm obsažených.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B399323" wp14:editId="6214C26C">
              <wp:simplePos x="0" y="0"/>
              <wp:positionH relativeFrom="column">
                <wp:posOffset>-720090</wp:posOffset>
              </wp:positionH>
              <wp:positionV relativeFrom="paragraph">
                <wp:posOffset>428625</wp:posOffset>
              </wp:positionV>
              <wp:extent cx="7562850" cy="76200"/>
              <wp:effectExtent l="0" t="0" r="0" b="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76200"/>
                      </a:xfrm>
                      <a:prstGeom prst="rect">
                        <a:avLst/>
                      </a:prstGeom>
                      <a:solidFill>
                        <a:srgbClr val="0056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C227A2" id="Rechteck 4" o:spid="_x0000_s1026" style="position:absolute;margin-left:-56.7pt;margin-top:33.75pt;width:595.5pt;height:6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" fillcolor="#005698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91645" w14:textId="77777777" w:rsidR="001351F1" w:rsidRDefault="001351F1">
      <w:r>
        <w:separator/>
      </w:r>
    </w:p>
  </w:footnote>
  <w:footnote w:type="continuationSeparator" w:id="0">
    <w:p w14:paraId="483B4D0B" w14:textId="77777777" w:rsidR="001351F1" w:rsidRDefault="001351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94799" w14:textId="44FEE641" w:rsidR="008E4CCD" w:rsidRDefault="008E4CCD">
    <w:pPr>
      <w:pStyle w:val="Zkladntext"/>
      <w:spacing w:line="14" w:lineRule="auto"/>
    </w:pPr>
    <w:r>
      <w:rPr>
        <w:noProof/>
        <w:lang w:val="cs-CZ" w:eastAsia="cs-CZ"/>
      </w:rPr>
      <w:drawing>
        <wp:anchor distT="0" distB="0" distL="114300" distR="114300" simplePos="0" relativeHeight="251659776" behindDoc="0" locked="0" layoutInCell="1" allowOverlap="1" wp14:anchorId="2D5EFDB0" wp14:editId="03B1D94C">
          <wp:simplePos x="0" y="0"/>
          <wp:positionH relativeFrom="column">
            <wp:posOffset>2646771</wp:posOffset>
          </wp:positionH>
          <wp:positionV relativeFrom="paragraph">
            <wp:posOffset>-123825</wp:posOffset>
          </wp:positionV>
          <wp:extent cx="2041072" cy="451361"/>
          <wp:effectExtent l="0" t="0" r="0" b="6350"/>
          <wp:wrapNone/>
          <wp:docPr id="37" name="obrázek 1" descr="C:\Users\otichota\AppData\Local\Microsoft\Windows\INetCache\Content.Word\CS Spolufinancováno Evropskou unií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tichota\AppData\Local\Microsoft\Windows\INetCache\Content.Word\CS Spolufinancováno Evropskou unií_POS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25"/>
                  <a:stretch/>
                </pic:blipFill>
                <pic:spPr bwMode="auto">
                  <a:xfrm>
                    <a:off x="0" y="0"/>
                    <a:ext cx="2041072" cy="4513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cs-CZ" w:eastAsia="cs-CZ"/>
      </w:rPr>
      <w:drawing>
        <wp:anchor distT="0" distB="0" distL="114300" distR="114300" simplePos="0" relativeHeight="251657728" behindDoc="0" locked="0" layoutInCell="1" allowOverlap="1" wp14:anchorId="11ED3E76" wp14:editId="57F23822">
          <wp:simplePos x="0" y="0"/>
          <wp:positionH relativeFrom="column">
            <wp:posOffset>4827270</wp:posOffset>
          </wp:positionH>
          <wp:positionV relativeFrom="paragraph">
            <wp:posOffset>-320040</wp:posOffset>
          </wp:positionV>
          <wp:extent cx="1295400" cy="670609"/>
          <wp:effectExtent l="0" t="0" r="0" b="0"/>
          <wp:wrapNone/>
          <wp:docPr id="38" name="Obrázek 38" descr="C:\Users\otichota\AppData\Local\Microsoft\Windows\INetCache\Content.Word\LOGO_ECC-Net_C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otichota\AppData\Local\Microsoft\Windows\INetCache\Content.Word\LOGO_ECC-Net_CZ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706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14DF7292" wp14:editId="02606013">
              <wp:simplePos x="0" y="0"/>
              <wp:positionH relativeFrom="page">
                <wp:posOffset>5833110</wp:posOffset>
              </wp:positionH>
              <wp:positionV relativeFrom="page">
                <wp:posOffset>467360</wp:posOffset>
              </wp:positionV>
              <wp:extent cx="3175" cy="1270"/>
              <wp:effectExtent l="3810" t="0" r="18415" b="13970"/>
              <wp:wrapNone/>
              <wp:docPr id="1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270"/>
                      </a:xfrm>
                      <a:custGeom>
                        <a:avLst/>
                        <a:gdLst>
                          <a:gd name="T0" fmla="+- 0 9186 9186"/>
                          <a:gd name="T1" fmla="*/ T0 w 5"/>
                          <a:gd name="T2" fmla="+- 0 737 737"/>
                          <a:gd name="T3" fmla="*/ 737 h 2"/>
                          <a:gd name="T4" fmla="+- 0 9189 9186"/>
                          <a:gd name="T5" fmla="*/ T4 w 5"/>
                          <a:gd name="T6" fmla="+- 0 738 737"/>
                          <a:gd name="T7" fmla="*/ 738 h 2"/>
                          <a:gd name="T8" fmla="+- 0 9191 9186"/>
                          <a:gd name="T9" fmla="*/ T8 w 5"/>
                          <a:gd name="T10" fmla="+- 0 739 737"/>
                          <a:gd name="T11" fmla="*/ 739 h 2"/>
                          <a:gd name="T12" fmla="+- 0 9189 9186"/>
                          <a:gd name="T13" fmla="*/ T12 w 5"/>
                          <a:gd name="T14" fmla="+- 0 738 737"/>
                          <a:gd name="T15" fmla="*/ 738 h 2"/>
                          <a:gd name="T16" fmla="+- 0 9186 9186"/>
                          <a:gd name="T17" fmla="*/ T16 w 5"/>
                          <a:gd name="T18" fmla="+- 0 737 737"/>
                          <a:gd name="T19" fmla="*/ 737 h 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5" h="2">
                            <a:moveTo>
                              <a:pt x="0" y="0"/>
                            </a:moveTo>
                            <a:lnTo>
                              <a:pt x="3" y="1"/>
                            </a:lnTo>
                            <a:lnTo>
                              <a:pt x="5" y="2"/>
                            </a:lnTo>
                            <a:lnTo>
                              <a:pt x="3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55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5E423C" id="Freeform 3" o:spid="_x0000_s1026" style="position:absolute;margin-left:459.3pt;margin-top:36.8pt;width:.25pt;height:.1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" path="m,l3,1,5,2,3,1,,xe" fillcolor="#005598" stroked="f">
              <v:path arrowok="t" o:connecttype="custom" o:connectlocs="0,467995;1905,468630;3175,469265;1905,468630;0,467995" o:connectangles="0,0,0,0,0"/>
              <w10:wrap anchorx="page" anchory="page"/>
            </v:shape>
          </w:pict>
        </mc:Fallback>
      </mc:AlternateContent>
    </w:r>
    <w:r>
      <w:softHyphen/>
    </w:r>
    <w:r>
      <w:softHyphen/>
    </w:r>
    <w:r>
      <w:softHyphen/>
    </w:r>
    <w: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B52EF"/>
    <w:multiLevelType w:val="hybridMultilevel"/>
    <w:tmpl w:val="DE4E16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4213"/>
    <w:multiLevelType w:val="hybridMultilevel"/>
    <w:tmpl w:val="69FC5E20"/>
    <w:lvl w:ilvl="0" w:tplc="19588CF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E159A"/>
    <w:multiLevelType w:val="hybridMultilevel"/>
    <w:tmpl w:val="E4A65F76"/>
    <w:lvl w:ilvl="0" w:tplc="19588CF8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056FCB"/>
    <w:multiLevelType w:val="hybridMultilevel"/>
    <w:tmpl w:val="12AA66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5163F"/>
    <w:multiLevelType w:val="hybridMultilevel"/>
    <w:tmpl w:val="50901714"/>
    <w:lvl w:ilvl="0" w:tplc="347A780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71806"/>
    <w:multiLevelType w:val="hybridMultilevel"/>
    <w:tmpl w:val="D97606B8"/>
    <w:lvl w:ilvl="0" w:tplc="B356990C">
      <w:start w:val="680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B5962"/>
    <w:multiLevelType w:val="hybridMultilevel"/>
    <w:tmpl w:val="AE4C2BCA"/>
    <w:lvl w:ilvl="0" w:tplc="69C06D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0F379E"/>
    <w:multiLevelType w:val="hybridMultilevel"/>
    <w:tmpl w:val="E8A6E0C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7130BC7"/>
    <w:multiLevelType w:val="hybridMultilevel"/>
    <w:tmpl w:val="242E3B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8B2449"/>
    <w:multiLevelType w:val="hybridMultilevel"/>
    <w:tmpl w:val="9A088E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BA0B88"/>
    <w:multiLevelType w:val="hybridMultilevel"/>
    <w:tmpl w:val="0CD810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0A31B7"/>
    <w:multiLevelType w:val="hybridMultilevel"/>
    <w:tmpl w:val="49FC9F40"/>
    <w:lvl w:ilvl="0" w:tplc="19588CF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46131"/>
    <w:multiLevelType w:val="hybridMultilevel"/>
    <w:tmpl w:val="8214E0F0"/>
    <w:lvl w:ilvl="0" w:tplc="8258072C">
      <w:start w:val="68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3C0F8C"/>
    <w:multiLevelType w:val="hybridMultilevel"/>
    <w:tmpl w:val="564E72B8"/>
    <w:lvl w:ilvl="0" w:tplc="69C06D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472008"/>
    <w:multiLevelType w:val="multilevel"/>
    <w:tmpl w:val="27740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7E6591"/>
    <w:multiLevelType w:val="hybridMultilevel"/>
    <w:tmpl w:val="BB620EDA"/>
    <w:lvl w:ilvl="0" w:tplc="7C5674A8">
      <w:start w:val="68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260A18"/>
    <w:multiLevelType w:val="hybridMultilevel"/>
    <w:tmpl w:val="9578C4D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A4340CE"/>
    <w:multiLevelType w:val="hybridMultilevel"/>
    <w:tmpl w:val="A3A467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6E219F"/>
    <w:multiLevelType w:val="hybridMultilevel"/>
    <w:tmpl w:val="25FC8290"/>
    <w:lvl w:ilvl="0" w:tplc="347A780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D46F82"/>
    <w:multiLevelType w:val="hybridMultilevel"/>
    <w:tmpl w:val="F5242C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4485827">
    <w:abstractNumId w:val="3"/>
  </w:num>
  <w:num w:numId="2" w16cid:durableId="891423991">
    <w:abstractNumId w:val="19"/>
  </w:num>
  <w:num w:numId="3" w16cid:durableId="1344237835">
    <w:abstractNumId w:val="12"/>
  </w:num>
  <w:num w:numId="4" w16cid:durableId="1427576926">
    <w:abstractNumId w:val="15"/>
  </w:num>
  <w:num w:numId="5" w16cid:durableId="165487387">
    <w:abstractNumId w:val="5"/>
  </w:num>
  <w:num w:numId="6" w16cid:durableId="279146117">
    <w:abstractNumId w:val="6"/>
  </w:num>
  <w:num w:numId="7" w16cid:durableId="168834630">
    <w:abstractNumId w:val="13"/>
  </w:num>
  <w:num w:numId="8" w16cid:durableId="1411854019">
    <w:abstractNumId w:val="18"/>
  </w:num>
  <w:num w:numId="9" w16cid:durableId="783187688">
    <w:abstractNumId w:val="4"/>
  </w:num>
  <w:num w:numId="10" w16cid:durableId="133566471">
    <w:abstractNumId w:val="10"/>
  </w:num>
  <w:num w:numId="11" w16cid:durableId="510753438">
    <w:abstractNumId w:val="17"/>
  </w:num>
  <w:num w:numId="12" w16cid:durableId="1145513815">
    <w:abstractNumId w:val="16"/>
  </w:num>
  <w:num w:numId="13" w16cid:durableId="2088188644">
    <w:abstractNumId w:val="8"/>
  </w:num>
  <w:num w:numId="14" w16cid:durableId="209000725">
    <w:abstractNumId w:val="1"/>
  </w:num>
  <w:num w:numId="15" w16cid:durableId="1931309250">
    <w:abstractNumId w:val="2"/>
  </w:num>
  <w:num w:numId="16" w16cid:durableId="1028260060">
    <w:abstractNumId w:val="7"/>
  </w:num>
  <w:num w:numId="17" w16cid:durableId="294869595">
    <w:abstractNumId w:val="0"/>
  </w:num>
  <w:num w:numId="18" w16cid:durableId="422453700">
    <w:abstractNumId w:val="11"/>
  </w:num>
  <w:num w:numId="19" w16cid:durableId="1561672870">
    <w:abstractNumId w:val="9"/>
  </w:num>
  <w:num w:numId="20" w16cid:durableId="44180790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174"/>
    <w:rsid w:val="000026D5"/>
    <w:rsid w:val="00004431"/>
    <w:rsid w:val="00004593"/>
    <w:rsid w:val="000056B3"/>
    <w:rsid w:val="00005B6E"/>
    <w:rsid w:val="00011A8A"/>
    <w:rsid w:val="00012D24"/>
    <w:rsid w:val="00033AF4"/>
    <w:rsid w:val="00037C66"/>
    <w:rsid w:val="00044019"/>
    <w:rsid w:val="00044F81"/>
    <w:rsid w:val="000612C3"/>
    <w:rsid w:val="000649AC"/>
    <w:rsid w:val="000715A4"/>
    <w:rsid w:val="00072E09"/>
    <w:rsid w:val="000730C9"/>
    <w:rsid w:val="00081464"/>
    <w:rsid w:val="00081513"/>
    <w:rsid w:val="0008523A"/>
    <w:rsid w:val="000907EE"/>
    <w:rsid w:val="00094D9F"/>
    <w:rsid w:val="000A56D8"/>
    <w:rsid w:val="000B103F"/>
    <w:rsid w:val="000B2E18"/>
    <w:rsid w:val="000B434F"/>
    <w:rsid w:val="000C068F"/>
    <w:rsid w:val="000C0E85"/>
    <w:rsid w:val="000C2026"/>
    <w:rsid w:val="000C6BA7"/>
    <w:rsid w:val="000D257C"/>
    <w:rsid w:val="000E029E"/>
    <w:rsid w:val="000E3C6E"/>
    <w:rsid w:val="000E6E70"/>
    <w:rsid w:val="00103DB8"/>
    <w:rsid w:val="00105405"/>
    <w:rsid w:val="00106724"/>
    <w:rsid w:val="0011250B"/>
    <w:rsid w:val="001138BB"/>
    <w:rsid w:val="0012227E"/>
    <w:rsid w:val="00124D39"/>
    <w:rsid w:val="001351F1"/>
    <w:rsid w:val="00161D76"/>
    <w:rsid w:val="001679CC"/>
    <w:rsid w:val="00174176"/>
    <w:rsid w:val="00175A6D"/>
    <w:rsid w:val="00181F51"/>
    <w:rsid w:val="00191131"/>
    <w:rsid w:val="001A5FC4"/>
    <w:rsid w:val="001B4073"/>
    <w:rsid w:val="001B51EA"/>
    <w:rsid w:val="001B71FD"/>
    <w:rsid w:val="001C4DF9"/>
    <w:rsid w:val="001D00E1"/>
    <w:rsid w:val="001D0B08"/>
    <w:rsid w:val="001E73BE"/>
    <w:rsid w:val="001F7114"/>
    <w:rsid w:val="0020080F"/>
    <w:rsid w:val="00201D42"/>
    <w:rsid w:val="002029CC"/>
    <w:rsid w:val="00205FFB"/>
    <w:rsid w:val="002103D5"/>
    <w:rsid w:val="00220E0F"/>
    <w:rsid w:val="002310B7"/>
    <w:rsid w:val="0023492C"/>
    <w:rsid w:val="002404C2"/>
    <w:rsid w:val="00240F7B"/>
    <w:rsid w:val="00243264"/>
    <w:rsid w:val="002468D3"/>
    <w:rsid w:val="00246C93"/>
    <w:rsid w:val="00247EB3"/>
    <w:rsid w:val="00250AA9"/>
    <w:rsid w:val="00255A9B"/>
    <w:rsid w:val="00257733"/>
    <w:rsid w:val="002716A7"/>
    <w:rsid w:val="0027678A"/>
    <w:rsid w:val="00281D9F"/>
    <w:rsid w:val="00283B11"/>
    <w:rsid w:val="00290B9A"/>
    <w:rsid w:val="002B65BE"/>
    <w:rsid w:val="002C5F53"/>
    <w:rsid w:val="002D2CB5"/>
    <w:rsid w:val="002E5BBB"/>
    <w:rsid w:val="002E69BC"/>
    <w:rsid w:val="002F08B3"/>
    <w:rsid w:val="002F1D1E"/>
    <w:rsid w:val="00300EDB"/>
    <w:rsid w:val="003018E2"/>
    <w:rsid w:val="00305927"/>
    <w:rsid w:val="00305F06"/>
    <w:rsid w:val="0031460D"/>
    <w:rsid w:val="00321E4F"/>
    <w:rsid w:val="00325892"/>
    <w:rsid w:val="00326A99"/>
    <w:rsid w:val="003278DE"/>
    <w:rsid w:val="00331281"/>
    <w:rsid w:val="00334F67"/>
    <w:rsid w:val="0034406A"/>
    <w:rsid w:val="00345F10"/>
    <w:rsid w:val="00353205"/>
    <w:rsid w:val="00363214"/>
    <w:rsid w:val="003642B7"/>
    <w:rsid w:val="003643C9"/>
    <w:rsid w:val="003715E9"/>
    <w:rsid w:val="003747EC"/>
    <w:rsid w:val="00375D18"/>
    <w:rsid w:val="0037673F"/>
    <w:rsid w:val="00385271"/>
    <w:rsid w:val="00386CB0"/>
    <w:rsid w:val="0039318D"/>
    <w:rsid w:val="003949D5"/>
    <w:rsid w:val="003974DB"/>
    <w:rsid w:val="003A23AA"/>
    <w:rsid w:val="003A5ED6"/>
    <w:rsid w:val="003A7DB4"/>
    <w:rsid w:val="003B3E72"/>
    <w:rsid w:val="003B6BEB"/>
    <w:rsid w:val="003C46C4"/>
    <w:rsid w:val="003D6D2A"/>
    <w:rsid w:val="003D6FE6"/>
    <w:rsid w:val="003D7504"/>
    <w:rsid w:val="003E4A85"/>
    <w:rsid w:val="003E63CD"/>
    <w:rsid w:val="003F0043"/>
    <w:rsid w:val="003F2BB7"/>
    <w:rsid w:val="00401F85"/>
    <w:rsid w:val="004051AE"/>
    <w:rsid w:val="0040707D"/>
    <w:rsid w:val="00415ABE"/>
    <w:rsid w:val="00416B78"/>
    <w:rsid w:val="00421DE4"/>
    <w:rsid w:val="00430DB6"/>
    <w:rsid w:val="00431AF9"/>
    <w:rsid w:val="00432D5F"/>
    <w:rsid w:val="00444C34"/>
    <w:rsid w:val="004505CD"/>
    <w:rsid w:val="004507E3"/>
    <w:rsid w:val="00470CD5"/>
    <w:rsid w:val="004913EA"/>
    <w:rsid w:val="00493FB2"/>
    <w:rsid w:val="004972A4"/>
    <w:rsid w:val="00497D16"/>
    <w:rsid w:val="004A05F1"/>
    <w:rsid w:val="004A4E3D"/>
    <w:rsid w:val="004A7456"/>
    <w:rsid w:val="004B4FE6"/>
    <w:rsid w:val="004C4518"/>
    <w:rsid w:val="004C4A8B"/>
    <w:rsid w:val="004D6EA9"/>
    <w:rsid w:val="004E3A87"/>
    <w:rsid w:val="004E5875"/>
    <w:rsid w:val="004E5BF8"/>
    <w:rsid w:val="004E6FAF"/>
    <w:rsid w:val="005009CA"/>
    <w:rsid w:val="00512129"/>
    <w:rsid w:val="00520C52"/>
    <w:rsid w:val="00521755"/>
    <w:rsid w:val="005312C0"/>
    <w:rsid w:val="0053173D"/>
    <w:rsid w:val="0054298C"/>
    <w:rsid w:val="00543C28"/>
    <w:rsid w:val="00545EF5"/>
    <w:rsid w:val="00551D7F"/>
    <w:rsid w:val="00551DAD"/>
    <w:rsid w:val="005573FD"/>
    <w:rsid w:val="00563DA5"/>
    <w:rsid w:val="00577A55"/>
    <w:rsid w:val="005823CD"/>
    <w:rsid w:val="005851E1"/>
    <w:rsid w:val="005A51E8"/>
    <w:rsid w:val="005A6088"/>
    <w:rsid w:val="005A656A"/>
    <w:rsid w:val="005B0E71"/>
    <w:rsid w:val="005B5E03"/>
    <w:rsid w:val="005C3076"/>
    <w:rsid w:val="005C30A1"/>
    <w:rsid w:val="005D454D"/>
    <w:rsid w:val="005E4BF1"/>
    <w:rsid w:val="005F2243"/>
    <w:rsid w:val="005F3059"/>
    <w:rsid w:val="00602A7D"/>
    <w:rsid w:val="00604458"/>
    <w:rsid w:val="00605788"/>
    <w:rsid w:val="00607E35"/>
    <w:rsid w:val="00612671"/>
    <w:rsid w:val="00631A38"/>
    <w:rsid w:val="0063522E"/>
    <w:rsid w:val="00636418"/>
    <w:rsid w:val="006444F6"/>
    <w:rsid w:val="00645968"/>
    <w:rsid w:val="00656835"/>
    <w:rsid w:val="0066275C"/>
    <w:rsid w:val="00665B36"/>
    <w:rsid w:val="00677274"/>
    <w:rsid w:val="00684F62"/>
    <w:rsid w:val="00687B62"/>
    <w:rsid w:val="00690395"/>
    <w:rsid w:val="00690929"/>
    <w:rsid w:val="006A23BF"/>
    <w:rsid w:val="006A55FE"/>
    <w:rsid w:val="006B286C"/>
    <w:rsid w:val="006B4DE3"/>
    <w:rsid w:val="006D2436"/>
    <w:rsid w:val="006D3121"/>
    <w:rsid w:val="006D58C1"/>
    <w:rsid w:val="006E2A7E"/>
    <w:rsid w:val="006F4F13"/>
    <w:rsid w:val="00703DD9"/>
    <w:rsid w:val="007111E8"/>
    <w:rsid w:val="00717A17"/>
    <w:rsid w:val="007208B4"/>
    <w:rsid w:val="007213E3"/>
    <w:rsid w:val="007373A0"/>
    <w:rsid w:val="00742597"/>
    <w:rsid w:val="0074674D"/>
    <w:rsid w:val="00761075"/>
    <w:rsid w:val="00764BE4"/>
    <w:rsid w:val="00773887"/>
    <w:rsid w:val="00794BA3"/>
    <w:rsid w:val="007A799A"/>
    <w:rsid w:val="007B58A4"/>
    <w:rsid w:val="007C5A9D"/>
    <w:rsid w:val="007C61E9"/>
    <w:rsid w:val="007D174A"/>
    <w:rsid w:val="007D6A06"/>
    <w:rsid w:val="007E162D"/>
    <w:rsid w:val="007E1E6F"/>
    <w:rsid w:val="007E53B0"/>
    <w:rsid w:val="007E6538"/>
    <w:rsid w:val="007F227B"/>
    <w:rsid w:val="00801AC9"/>
    <w:rsid w:val="00804ED5"/>
    <w:rsid w:val="008220E4"/>
    <w:rsid w:val="0082217C"/>
    <w:rsid w:val="00823954"/>
    <w:rsid w:val="00823FCB"/>
    <w:rsid w:val="008276A0"/>
    <w:rsid w:val="0083168F"/>
    <w:rsid w:val="008422E7"/>
    <w:rsid w:val="0084233E"/>
    <w:rsid w:val="008540DB"/>
    <w:rsid w:val="00856432"/>
    <w:rsid w:val="008604C2"/>
    <w:rsid w:val="0086179E"/>
    <w:rsid w:val="008712BC"/>
    <w:rsid w:val="008746D5"/>
    <w:rsid w:val="00881A17"/>
    <w:rsid w:val="008834A7"/>
    <w:rsid w:val="00891529"/>
    <w:rsid w:val="008940C5"/>
    <w:rsid w:val="008A1F7D"/>
    <w:rsid w:val="008A4082"/>
    <w:rsid w:val="008B0F84"/>
    <w:rsid w:val="008B3D8C"/>
    <w:rsid w:val="008B716E"/>
    <w:rsid w:val="008C00B8"/>
    <w:rsid w:val="008C1355"/>
    <w:rsid w:val="008C1AD7"/>
    <w:rsid w:val="008C2F43"/>
    <w:rsid w:val="008C7EB9"/>
    <w:rsid w:val="008D12B0"/>
    <w:rsid w:val="008E4CCD"/>
    <w:rsid w:val="008F2E38"/>
    <w:rsid w:val="00904353"/>
    <w:rsid w:val="0092213C"/>
    <w:rsid w:val="009308B5"/>
    <w:rsid w:val="00934787"/>
    <w:rsid w:val="00935411"/>
    <w:rsid w:val="0094360E"/>
    <w:rsid w:val="00943FD0"/>
    <w:rsid w:val="0094660E"/>
    <w:rsid w:val="00966816"/>
    <w:rsid w:val="009769A7"/>
    <w:rsid w:val="00982641"/>
    <w:rsid w:val="00991B85"/>
    <w:rsid w:val="009B1948"/>
    <w:rsid w:val="009B5F46"/>
    <w:rsid w:val="009C2512"/>
    <w:rsid w:val="009C261D"/>
    <w:rsid w:val="009D31EC"/>
    <w:rsid w:val="009E7A39"/>
    <w:rsid w:val="009F0641"/>
    <w:rsid w:val="00A00107"/>
    <w:rsid w:val="00A031C6"/>
    <w:rsid w:val="00A0321A"/>
    <w:rsid w:val="00A230CD"/>
    <w:rsid w:val="00A24F34"/>
    <w:rsid w:val="00A273D4"/>
    <w:rsid w:val="00A27586"/>
    <w:rsid w:val="00A350C1"/>
    <w:rsid w:val="00A35E95"/>
    <w:rsid w:val="00A37CC5"/>
    <w:rsid w:val="00A432FB"/>
    <w:rsid w:val="00A45A3F"/>
    <w:rsid w:val="00A50333"/>
    <w:rsid w:val="00A5492C"/>
    <w:rsid w:val="00A61CDA"/>
    <w:rsid w:val="00A72FBC"/>
    <w:rsid w:val="00A73392"/>
    <w:rsid w:val="00A753E8"/>
    <w:rsid w:val="00A75DE7"/>
    <w:rsid w:val="00A777A8"/>
    <w:rsid w:val="00A845AE"/>
    <w:rsid w:val="00A84E46"/>
    <w:rsid w:val="00A8655C"/>
    <w:rsid w:val="00A92A6C"/>
    <w:rsid w:val="00A95484"/>
    <w:rsid w:val="00AA57D9"/>
    <w:rsid w:val="00AB5E57"/>
    <w:rsid w:val="00AC6870"/>
    <w:rsid w:val="00AC7D34"/>
    <w:rsid w:val="00AD3A7F"/>
    <w:rsid w:val="00AE2D8B"/>
    <w:rsid w:val="00AE50E5"/>
    <w:rsid w:val="00B03407"/>
    <w:rsid w:val="00B03E64"/>
    <w:rsid w:val="00B0409D"/>
    <w:rsid w:val="00B103FF"/>
    <w:rsid w:val="00B113DA"/>
    <w:rsid w:val="00B13427"/>
    <w:rsid w:val="00B228CC"/>
    <w:rsid w:val="00B35CCC"/>
    <w:rsid w:val="00B37CC7"/>
    <w:rsid w:val="00B46539"/>
    <w:rsid w:val="00B500FD"/>
    <w:rsid w:val="00B61073"/>
    <w:rsid w:val="00B65210"/>
    <w:rsid w:val="00B71431"/>
    <w:rsid w:val="00B7272E"/>
    <w:rsid w:val="00B74378"/>
    <w:rsid w:val="00B75CAB"/>
    <w:rsid w:val="00B77D75"/>
    <w:rsid w:val="00B8306E"/>
    <w:rsid w:val="00B83AD6"/>
    <w:rsid w:val="00B91805"/>
    <w:rsid w:val="00B94740"/>
    <w:rsid w:val="00BA1F30"/>
    <w:rsid w:val="00BA5C4D"/>
    <w:rsid w:val="00BA6896"/>
    <w:rsid w:val="00BB2C80"/>
    <w:rsid w:val="00BB51B3"/>
    <w:rsid w:val="00BB7241"/>
    <w:rsid w:val="00BC1F00"/>
    <w:rsid w:val="00BC5D00"/>
    <w:rsid w:val="00BD3303"/>
    <w:rsid w:val="00BD3560"/>
    <w:rsid w:val="00BD48BD"/>
    <w:rsid w:val="00BD6A6D"/>
    <w:rsid w:val="00BD6D2C"/>
    <w:rsid w:val="00BE4746"/>
    <w:rsid w:val="00BF7CF8"/>
    <w:rsid w:val="00C0468A"/>
    <w:rsid w:val="00C0552A"/>
    <w:rsid w:val="00C108A0"/>
    <w:rsid w:val="00C13702"/>
    <w:rsid w:val="00C17172"/>
    <w:rsid w:val="00C20C66"/>
    <w:rsid w:val="00C276A1"/>
    <w:rsid w:val="00C34023"/>
    <w:rsid w:val="00C35716"/>
    <w:rsid w:val="00C36229"/>
    <w:rsid w:val="00C40529"/>
    <w:rsid w:val="00C46123"/>
    <w:rsid w:val="00C53E07"/>
    <w:rsid w:val="00C6697C"/>
    <w:rsid w:val="00C7586A"/>
    <w:rsid w:val="00C77174"/>
    <w:rsid w:val="00C77B25"/>
    <w:rsid w:val="00C80A25"/>
    <w:rsid w:val="00C841F1"/>
    <w:rsid w:val="00C8625D"/>
    <w:rsid w:val="00C91155"/>
    <w:rsid w:val="00C94ECD"/>
    <w:rsid w:val="00CA6EEA"/>
    <w:rsid w:val="00CB18D1"/>
    <w:rsid w:val="00CB39FB"/>
    <w:rsid w:val="00CB425E"/>
    <w:rsid w:val="00CC0800"/>
    <w:rsid w:val="00CC348C"/>
    <w:rsid w:val="00CC3F7D"/>
    <w:rsid w:val="00CC5615"/>
    <w:rsid w:val="00CC68B0"/>
    <w:rsid w:val="00CD09A2"/>
    <w:rsid w:val="00CD2181"/>
    <w:rsid w:val="00CE16B1"/>
    <w:rsid w:val="00CE32A0"/>
    <w:rsid w:val="00CF7ADC"/>
    <w:rsid w:val="00D00185"/>
    <w:rsid w:val="00D04394"/>
    <w:rsid w:val="00D0547C"/>
    <w:rsid w:val="00D20FA3"/>
    <w:rsid w:val="00D233CE"/>
    <w:rsid w:val="00D24C02"/>
    <w:rsid w:val="00D40B4A"/>
    <w:rsid w:val="00D51611"/>
    <w:rsid w:val="00D51D99"/>
    <w:rsid w:val="00D63751"/>
    <w:rsid w:val="00D76907"/>
    <w:rsid w:val="00D86992"/>
    <w:rsid w:val="00D86DCB"/>
    <w:rsid w:val="00D9036B"/>
    <w:rsid w:val="00D91444"/>
    <w:rsid w:val="00D93DD9"/>
    <w:rsid w:val="00D95BC9"/>
    <w:rsid w:val="00D97BD5"/>
    <w:rsid w:val="00DA3999"/>
    <w:rsid w:val="00DB04FD"/>
    <w:rsid w:val="00DB6671"/>
    <w:rsid w:val="00DB6EE3"/>
    <w:rsid w:val="00DB7F18"/>
    <w:rsid w:val="00DC1C26"/>
    <w:rsid w:val="00DC5F45"/>
    <w:rsid w:val="00DD123B"/>
    <w:rsid w:val="00DD1828"/>
    <w:rsid w:val="00DD1AE6"/>
    <w:rsid w:val="00DD2DE2"/>
    <w:rsid w:val="00DD7967"/>
    <w:rsid w:val="00DF0E16"/>
    <w:rsid w:val="00DF57D1"/>
    <w:rsid w:val="00E20A9F"/>
    <w:rsid w:val="00E371B0"/>
    <w:rsid w:val="00E45F83"/>
    <w:rsid w:val="00E5342A"/>
    <w:rsid w:val="00E66708"/>
    <w:rsid w:val="00E71A37"/>
    <w:rsid w:val="00E75E03"/>
    <w:rsid w:val="00E75EAA"/>
    <w:rsid w:val="00E76E2B"/>
    <w:rsid w:val="00E772AB"/>
    <w:rsid w:val="00E83081"/>
    <w:rsid w:val="00E87283"/>
    <w:rsid w:val="00E9447C"/>
    <w:rsid w:val="00EA6F00"/>
    <w:rsid w:val="00EB3C92"/>
    <w:rsid w:val="00ED553B"/>
    <w:rsid w:val="00ED7EC5"/>
    <w:rsid w:val="00EE0EAE"/>
    <w:rsid w:val="00EE1663"/>
    <w:rsid w:val="00EE41A1"/>
    <w:rsid w:val="00EE7885"/>
    <w:rsid w:val="00F105F1"/>
    <w:rsid w:val="00F14644"/>
    <w:rsid w:val="00F27B07"/>
    <w:rsid w:val="00F32C52"/>
    <w:rsid w:val="00F33902"/>
    <w:rsid w:val="00F37F34"/>
    <w:rsid w:val="00F40998"/>
    <w:rsid w:val="00F47311"/>
    <w:rsid w:val="00F70E3C"/>
    <w:rsid w:val="00F72C81"/>
    <w:rsid w:val="00F84311"/>
    <w:rsid w:val="00F8507C"/>
    <w:rsid w:val="00F87647"/>
    <w:rsid w:val="00F905C0"/>
    <w:rsid w:val="00F92B64"/>
    <w:rsid w:val="00FA0EEF"/>
    <w:rsid w:val="00FA6793"/>
    <w:rsid w:val="00FB2364"/>
    <w:rsid w:val="00FB2DBD"/>
    <w:rsid w:val="00FB3250"/>
    <w:rsid w:val="00FC4AE3"/>
    <w:rsid w:val="00FC6B79"/>
    <w:rsid w:val="00FC74E7"/>
    <w:rsid w:val="00FE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00632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Pr>
      <w:rFonts w:ascii="Arial" w:eastAsia="Arial" w:hAnsi="Arial" w:cs="Arial"/>
    </w:rPr>
  </w:style>
  <w:style w:type="paragraph" w:styleId="Nadpis1">
    <w:name w:val="heading 1"/>
    <w:basedOn w:val="Normln"/>
    <w:link w:val="Nadpis1Char"/>
    <w:uiPriority w:val="9"/>
    <w:qFormat/>
    <w:rsid w:val="00966816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58C1"/>
    <w:pPr>
      <w:keepNext/>
      <w:keepLines/>
      <w:widowControl/>
      <w:autoSpaceDE/>
      <w:autoSpaceDN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34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F4099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40998"/>
    <w:rPr>
      <w:rFonts w:ascii="Arial" w:eastAsia="Arial" w:hAnsi="Arial" w:cs="Arial"/>
    </w:rPr>
  </w:style>
  <w:style w:type="paragraph" w:styleId="Zpat">
    <w:name w:val="footer"/>
    <w:basedOn w:val="Normln"/>
    <w:link w:val="ZpatChar"/>
    <w:uiPriority w:val="99"/>
    <w:unhideWhenUsed/>
    <w:rsid w:val="00F4099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40998"/>
    <w:rPr>
      <w:rFonts w:ascii="Arial" w:eastAsia="Arial" w:hAnsi="Arial" w:cs="Arial"/>
    </w:rPr>
  </w:style>
  <w:style w:type="paragraph" w:customStyle="1" w:styleId="EinfAbs">
    <w:name w:val="[Einf. Abs.]"/>
    <w:basedOn w:val="Normln"/>
    <w:uiPriority w:val="99"/>
    <w:rsid w:val="00C34023"/>
    <w:pPr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val="fr-FR"/>
    </w:rPr>
  </w:style>
  <w:style w:type="character" w:styleId="Hypertextovodkaz">
    <w:name w:val="Hyperlink"/>
    <w:uiPriority w:val="99"/>
    <w:unhideWhenUsed/>
    <w:rsid w:val="00DD1828"/>
    <w:rPr>
      <w:color w:val="0000FF"/>
      <w:u w:val="single"/>
    </w:rPr>
  </w:style>
  <w:style w:type="character" w:customStyle="1" w:styleId="tagtrans">
    <w:name w:val="tag_trans"/>
    <w:rsid w:val="008C1AD7"/>
  </w:style>
  <w:style w:type="character" w:customStyle="1" w:styleId="tagt">
    <w:name w:val="tag_t"/>
    <w:rsid w:val="008C1AD7"/>
  </w:style>
  <w:style w:type="character" w:customStyle="1" w:styleId="span9">
    <w:name w:val="span9"/>
    <w:rsid w:val="008C1AD7"/>
  </w:style>
  <w:style w:type="character" w:customStyle="1" w:styleId="apple-converted-space">
    <w:name w:val="apple-converted-space"/>
    <w:basedOn w:val="Standardnpsmoodstavce"/>
    <w:rsid w:val="007C5A9D"/>
  </w:style>
  <w:style w:type="paragraph" w:customStyle="1" w:styleId="FlietextFlietext">
    <w:name w:val="Fließtext (Fließtext)"/>
    <w:basedOn w:val="Normln"/>
    <w:uiPriority w:val="99"/>
    <w:rsid w:val="00F8507C"/>
    <w:pPr>
      <w:adjustRightInd w:val="0"/>
      <w:spacing w:after="57" w:line="288" w:lineRule="auto"/>
      <w:textAlignment w:val="center"/>
    </w:pPr>
    <w:rPr>
      <w:rFonts w:ascii="MyriadPro-Light" w:eastAsiaTheme="minorHAnsi" w:hAnsi="MyriadPro-Light" w:cs="MyriadPro-Light"/>
      <w:color w:val="0E2627"/>
      <w:sz w:val="20"/>
      <w:szCs w:val="20"/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A230C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230C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230CD"/>
    <w:rPr>
      <w:rFonts w:ascii="Arial" w:eastAsia="Arial" w:hAnsi="Arial" w:cs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30C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230CD"/>
    <w:rPr>
      <w:rFonts w:ascii="Arial" w:eastAsia="Arial" w:hAnsi="Arial" w:cs="Arial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30C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30CD"/>
    <w:rPr>
      <w:rFonts w:ascii="Segoe UI" w:eastAsia="Arial" w:hAnsi="Segoe UI" w:cs="Segoe UI"/>
      <w:sz w:val="18"/>
      <w:szCs w:val="18"/>
    </w:rPr>
  </w:style>
  <w:style w:type="character" w:customStyle="1" w:styleId="hash">
    <w:name w:val="hash"/>
    <w:basedOn w:val="Standardnpsmoodstavce"/>
    <w:rsid w:val="005312C0"/>
  </w:style>
  <w:style w:type="character" w:customStyle="1" w:styleId="link-complex-target">
    <w:name w:val="link-complex-target"/>
    <w:basedOn w:val="Standardnpsmoodstavce"/>
    <w:rsid w:val="005312C0"/>
  </w:style>
  <w:style w:type="character" w:styleId="Sledovanodkaz">
    <w:name w:val="FollowedHyperlink"/>
    <w:basedOn w:val="Standardnpsmoodstavce"/>
    <w:uiPriority w:val="99"/>
    <w:semiHidden/>
    <w:unhideWhenUsed/>
    <w:rsid w:val="00B91805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6D58C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e-DE"/>
    </w:rPr>
  </w:style>
  <w:style w:type="paragraph" w:styleId="Normlnweb">
    <w:name w:val="Normal (Web)"/>
    <w:basedOn w:val="Normln"/>
    <w:uiPriority w:val="99"/>
    <w:unhideWhenUsed/>
    <w:rsid w:val="00175A6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Zdraznn">
    <w:name w:val="Emphasis"/>
    <w:basedOn w:val="Standardnpsmoodstavce"/>
    <w:uiPriority w:val="20"/>
    <w:qFormat/>
    <w:rsid w:val="00175A6D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966816"/>
    <w:rPr>
      <w:rFonts w:ascii="Times New Roman" w:eastAsia="Times New Roman" w:hAnsi="Times New Roman" w:cs="Times New Roman"/>
      <w:b/>
      <w:bCs/>
      <w:kern w:val="36"/>
      <w:sz w:val="48"/>
      <w:szCs w:val="48"/>
      <w:lang w:val="cs-CZ" w:eastAsia="cs-CZ"/>
    </w:rPr>
  </w:style>
  <w:style w:type="character" w:styleId="Siln">
    <w:name w:val="Strong"/>
    <w:basedOn w:val="Standardnpsmoodstavce"/>
    <w:uiPriority w:val="22"/>
    <w:qFormat/>
    <w:rsid w:val="009668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4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4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6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tichota@coi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vropskyspotrebitel.gov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413</Words>
  <Characters>2321</Characters>
  <Application>Microsoft Office Word</Application>
  <DocSecurity>0</DocSecurity>
  <Lines>39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Jonas Maunichy</dc:creator>
  <cp:lastModifiedBy>Janoušek Karel, Bc.</cp:lastModifiedBy>
  <cp:revision>4</cp:revision>
  <cp:lastPrinted>2018-03-22T08:15:00Z</cp:lastPrinted>
  <dcterms:created xsi:type="dcterms:W3CDTF">2025-08-14T07:57:00Z</dcterms:created>
  <dcterms:modified xsi:type="dcterms:W3CDTF">2025-08-15T11:13:00Z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2017-06-29T00:00:00Z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2017-07-28T00:00:00Z</vt:filetime>
  </property>
</Properties>
</file>