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49F6" w14:textId="77777777" w:rsidR="00562DFF" w:rsidRDefault="00CF0332" w:rsidP="00562DFF">
      <w:pPr>
        <w:spacing w:before="240"/>
        <w:jc w:val="right"/>
        <w:rPr>
          <w:rFonts w:ascii="Arial" w:hAnsi="Arial" w:cs="Arial"/>
          <w:b/>
          <w:bCs/>
          <w:color w:val="2658A5"/>
          <w:sz w:val="32"/>
          <w:szCs w:val="32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  <w:r w:rsidR="00562DFF"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  <w:r w:rsidR="00DF74CC"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</w:p>
    <w:p w14:paraId="0E151892" w14:textId="2C8A1329" w:rsidR="004D523A" w:rsidRPr="00562DFF" w:rsidRDefault="004D523A" w:rsidP="00562DFF">
      <w:pPr>
        <w:spacing w:before="240"/>
        <w:rPr>
          <w:rFonts w:ascii="Arial" w:hAnsi="Arial" w:cs="Arial"/>
          <w:color w:val="2658A5"/>
          <w:sz w:val="48"/>
          <w:szCs w:val="48"/>
          <w:lang w:val="en-GB"/>
        </w:rPr>
      </w:pP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Czech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Trade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Inspection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Authority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522610">
        <w:rPr>
          <w:rFonts w:ascii="Arial" w:hAnsi="Arial" w:cs="Arial"/>
          <w:b/>
          <w:bCs/>
          <w:color w:val="2658A5"/>
          <w:sz w:val="32"/>
          <w:szCs w:val="32"/>
        </w:rPr>
        <w:t>detected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522610">
        <w:rPr>
          <w:rFonts w:ascii="Arial" w:hAnsi="Arial" w:cs="Arial"/>
          <w:b/>
          <w:bCs/>
          <w:color w:val="2658A5"/>
          <w:sz w:val="32"/>
          <w:szCs w:val="32"/>
        </w:rPr>
        <w:t>fur</w:t>
      </w:r>
      <w:r w:rsidR="008C6764">
        <w:rPr>
          <w:rFonts w:ascii="Arial" w:hAnsi="Arial" w:cs="Arial"/>
          <w:b/>
          <w:bCs/>
          <w:color w:val="2658A5"/>
          <w:sz w:val="32"/>
          <w:szCs w:val="32"/>
        </w:rPr>
        <w:t>t</w:t>
      </w:r>
      <w:r w:rsidR="00522610">
        <w:rPr>
          <w:rFonts w:ascii="Arial" w:hAnsi="Arial" w:cs="Arial"/>
          <w:b/>
          <w:bCs/>
          <w:color w:val="2658A5"/>
          <w:sz w:val="32"/>
          <w:szCs w:val="32"/>
        </w:rPr>
        <w:t>her</w:t>
      </w:r>
      <w:proofErr w:type="spellEnd"/>
      <w:r w:rsidR="0052261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cases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consumer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discrimination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in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second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quarter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562DFF">
        <w:rPr>
          <w:rFonts w:ascii="Arial" w:hAnsi="Arial" w:cs="Arial"/>
          <w:b/>
          <w:bCs/>
          <w:color w:val="2658A5"/>
          <w:sz w:val="32"/>
          <w:szCs w:val="32"/>
        </w:rPr>
        <w:br/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this</w:t>
      </w:r>
      <w:proofErr w:type="spellEnd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4D523A">
        <w:rPr>
          <w:rFonts w:ascii="Arial" w:hAnsi="Arial" w:cs="Arial"/>
          <w:b/>
          <w:bCs/>
          <w:color w:val="2658A5"/>
          <w:sz w:val="32"/>
          <w:szCs w:val="32"/>
        </w:rPr>
        <w:t>year</w:t>
      </w:r>
      <w:proofErr w:type="spellEnd"/>
    </w:p>
    <w:p w14:paraId="6CBE97E4" w14:textId="5B40EAC8" w:rsidR="004D523A" w:rsidRPr="004D523A" w:rsidRDefault="00562DFF" w:rsidP="003B7BE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D523A" w:rsidRPr="004D523A">
        <w:rPr>
          <w:rFonts w:ascii="Arial" w:hAnsi="Arial" w:cs="Arial"/>
          <w:sz w:val="20"/>
          <w:szCs w:val="20"/>
        </w:rPr>
        <w:t>(Prague, 27 August 2025</w:t>
      </w:r>
      <w:r w:rsidR="003B7BE8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During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second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quarter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this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year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Czech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Trade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Authority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checked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whether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traders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discriminate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against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consumers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It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 a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total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3B7BE8">
        <w:rPr>
          <w:rFonts w:ascii="Arial" w:eastAsia="Calibri" w:hAnsi="Arial" w:cs="Arial"/>
          <w:b/>
          <w:bCs/>
          <w:color w:val="000000"/>
          <w:sz w:val="20"/>
          <w:szCs w:val="20"/>
        </w:rPr>
        <w:br/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22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this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number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11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i.e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50%,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found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violations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legal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regulations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which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2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were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qualified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by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suspicion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some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form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discriminatory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behaviour</w:t>
      </w:r>
      <w:proofErr w:type="spellEnd"/>
      <w:r w:rsidR="004D523A" w:rsidRPr="004D523A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14:paraId="1934081C" w14:textId="7CC2073F" w:rsidR="003B7BE8" w:rsidRPr="003B7BE8" w:rsidRDefault="003B7BE8" w:rsidP="003B7BE8">
      <w:pPr>
        <w:pStyle w:val="Normlnweb"/>
        <w:jc w:val="both"/>
        <w:rPr>
          <w:rFonts w:ascii="Arial" w:hAnsi="Arial" w:cs="Arial"/>
          <w:b/>
          <w:bCs/>
          <w:sz w:val="20"/>
          <w:szCs w:val="20"/>
        </w:rPr>
      </w:pPr>
      <w:r w:rsidRPr="003B7BE8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3B7BE8">
        <w:rPr>
          <w:rFonts w:ascii="Arial" w:hAnsi="Arial" w:cs="Arial"/>
          <w:sz w:val="20"/>
          <w:szCs w:val="20"/>
        </w:rPr>
        <w:t>from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3B7BE8">
        <w:rPr>
          <w:rFonts w:ascii="Arial" w:hAnsi="Arial" w:cs="Arial"/>
          <w:sz w:val="20"/>
          <w:szCs w:val="20"/>
        </w:rPr>
        <w:t>April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to 30 June 2025,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3B7BE8">
        <w:rPr>
          <w:rFonts w:ascii="Arial" w:hAnsi="Arial" w:cs="Arial"/>
          <w:sz w:val="20"/>
          <w:szCs w:val="20"/>
        </w:rPr>
        <w:t>Trade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Inspection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Authority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carried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out a </w:t>
      </w:r>
      <w:proofErr w:type="spellStart"/>
      <w:r w:rsidRPr="003B7BE8">
        <w:rPr>
          <w:rFonts w:ascii="Arial" w:hAnsi="Arial" w:cs="Arial"/>
          <w:sz w:val="20"/>
          <w:szCs w:val="20"/>
        </w:rPr>
        <w:t>periodic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inspection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focused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B7BE8">
        <w:rPr>
          <w:rFonts w:ascii="Arial" w:hAnsi="Arial" w:cs="Arial"/>
          <w:sz w:val="20"/>
          <w:szCs w:val="20"/>
        </w:rPr>
        <w:t>compliance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Act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No. 634/1992 </w:t>
      </w:r>
      <w:proofErr w:type="spellStart"/>
      <w:r w:rsidRPr="003B7BE8">
        <w:rPr>
          <w:rFonts w:ascii="Arial" w:hAnsi="Arial" w:cs="Arial"/>
          <w:sz w:val="20"/>
          <w:szCs w:val="20"/>
        </w:rPr>
        <w:t>Coll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., on </w:t>
      </w:r>
      <w:proofErr w:type="spellStart"/>
      <w:r w:rsidRPr="003B7BE8">
        <w:rPr>
          <w:rFonts w:ascii="Arial" w:hAnsi="Arial" w:cs="Arial"/>
          <w:sz w:val="20"/>
          <w:szCs w:val="20"/>
        </w:rPr>
        <w:t>Consumer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Protection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i.e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3B7BE8">
        <w:rPr>
          <w:rFonts w:ascii="Arial" w:hAnsi="Arial" w:cs="Arial"/>
          <w:sz w:val="20"/>
          <w:szCs w:val="20"/>
        </w:rPr>
        <w:t>checking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whether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sellers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discriminate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against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consumers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inspections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also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included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verifying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fulfilment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other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obligations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sellers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arising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from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legislation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compliance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which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subject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supervision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activities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CTIA.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Suspected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provisions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Section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6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No. 634/1992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>.</w:t>
      </w:r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which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prohibits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sellers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from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discriminating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against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consumers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sale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products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provision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services</w:t>
      </w:r>
      <w:proofErr w:type="spellEnd"/>
      <w:r w:rsidRPr="003B7BE8">
        <w:rPr>
          <w:rFonts w:ascii="Arial" w:hAnsi="Arial" w:cs="Arial"/>
          <w:sz w:val="20"/>
          <w:szCs w:val="20"/>
        </w:rPr>
        <w:t>, (</w:t>
      </w:r>
      <w:proofErr w:type="spellStart"/>
      <w:r w:rsidRPr="003B7BE8">
        <w:rPr>
          <w:rFonts w:ascii="Arial" w:hAnsi="Arial" w:cs="Arial"/>
          <w:sz w:val="20"/>
          <w:szCs w:val="20"/>
        </w:rPr>
        <w:t>i.e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B7BE8">
        <w:rPr>
          <w:rFonts w:ascii="Arial" w:hAnsi="Arial" w:cs="Arial"/>
          <w:sz w:val="20"/>
          <w:szCs w:val="20"/>
        </w:rPr>
        <w:t>prohibits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less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favourable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treatment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B7BE8">
        <w:rPr>
          <w:rFonts w:ascii="Arial" w:hAnsi="Arial" w:cs="Arial"/>
          <w:sz w:val="20"/>
          <w:szCs w:val="20"/>
        </w:rPr>
        <w:t>comparable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situations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different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persons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basis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their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race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ethnic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origin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nationality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gender, </w:t>
      </w:r>
      <w:proofErr w:type="spellStart"/>
      <w:r w:rsidRPr="003B7BE8">
        <w:rPr>
          <w:rFonts w:ascii="Arial" w:hAnsi="Arial" w:cs="Arial"/>
          <w:sz w:val="20"/>
          <w:szCs w:val="20"/>
        </w:rPr>
        <w:t>sexual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orientation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age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disability, </w:t>
      </w:r>
      <w:proofErr w:type="spellStart"/>
      <w:r w:rsidRPr="003B7BE8">
        <w:rPr>
          <w:rFonts w:ascii="Arial" w:hAnsi="Arial" w:cs="Arial"/>
          <w:sz w:val="20"/>
          <w:szCs w:val="20"/>
        </w:rPr>
        <w:t>faith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religion </w:t>
      </w:r>
      <w:proofErr w:type="spellStart"/>
      <w:r w:rsidRPr="003B7BE8">
        <w:rPr>
          <w:rFonts w:ascii="Arial" w:hAnsi="Arial" w:cs="Arial"/>
          <w:sz w:val="20"/>
          <w:szCs w:val="20"/>
        </w:rPr>
        <w:t>or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world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view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or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other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reason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qualified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by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inspectors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in a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2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inspections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(9.09%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inspections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carried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out).</w:t>
      </w:r>
    </w:p>
    <w:p w14:paraId="53A5F2CD" w14:textId="77777777" w:rsidR="003B7BE8" w:rsidRDefault="003B7BE8" w:rsidP="003B7BE8">
      <w:pPr>
        <w:pStyle w:val="Normlnweb"/>
        <w:jc w:val="both"/>
        <w:rPr>
          <w:rFonts w:ascii="Arial" w:hAnsi="Arial" w:cs="Arial"/>
          <w:b/>
          <w:bCs/>
          <w:sz w:val="20"/>
          <w:szCs w:val="20"/>
        </w:rPr>
      </w:pPr>
      <w:r w:rsidRPr="003B7BE8">
        <w:rPr>
          <w:rFonts w:ascii="Arial" w:hAnsi="Arial" w:cs="Arial"/>
          <w:b/>
          <w:bCs/>
          <w:sz w:val="20"/>
          <w:szCs w:val="20"/>
        </w:rPr>
        <w:t xml:space="preserve">These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following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discrimination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>:</w:t>
      </w:r>
    </w:p>
    <w:p w14:paraId="7C27CCF9" w14:textId="1C01CB46" w:rsidR="003B7BE8" w:rsidRPr="003B7BE8" w:rsidRDefault="003B7BE8" w:rsidP="003B7BE8">
      <w:pPr>
        <w:pStyle w:val="Normlnweb"/>
        <w:numPr>
          <w:ilvl w:val="0"/>
          <w:numId w:val="2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B7BE8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an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assistance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dog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repeatedly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denied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entry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shop</w:t>
      </w:r>
      <w:r w:rsidRPr="003B7BE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inspection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carried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out in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presence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B7BE8">
        <w:rPr>
          <w:rFonts w:ascii="Arial" w:hAnsi="Arial" w:cs="Arial"/>
          <w:sz w:val="20"/>
          <w:szCs w:val="20"/>
        </w:rPr>
        <w:t>consumer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assistance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dog </w:t>
      </w:r>
      <w:proofErr w:type="spellStart"/>
      <w:r w:rsidRPr="003B7BE8">
        <w:rPr>
          <w:rFonts w:ascii="Arial" w:hAnsi="Arial" w:cs="Arial"/>
          <w:sz w:val="20"/>
          <w:szCs w:val="20"/>
        </w:rPr>
        <w:t>found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that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inspected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person </w:t>
      </w:r>
      <w:proofErr w:type="spellStart"/>
      <w:r w:rsidRPr="003B7BE8">
        <w:rPr>
          <w:rFonts w:ascii="Arial" w:hAnsi="Arial" w:cs="Arial"/>
          <w:sz w:val="20"/>
          <w:szCs w:val="20"/>
        </w:rPr>
        <w:t>did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3B7BE8">
        <w:rPr>
          <w:rFonts w:ascii="Arial" w:hAnsi="Arial" w:cs="Arial"/>
          <w:sz w:val="20"/>
          <w:szCs w:val="20"/>
        </w:rPr>
        <w:t>allow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consumer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accompanied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assistance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dog, </w:t>
      </w:r>
      <w:r>
        <w:rPr>
          <w:rFonts w:ascii="Arial" w:hAnsi="Arial" w:cs="Arial"/>
          <w:sz w:val="20"/>
          <w:szCs w:val="20"/>
        </w:rPr>
        <w:br/>
      </w:r>
      <w:r w:rsidRPr="003B7BE8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3B7BE8">
        <w:rPr>
          <w:rFonts w:ascii="Arial" w:hAnsi="Arial" w:cs="Arial"/>
          <w:sz w:val="20"/>
          <w:szCs w:val="20"/>
        </w:rPr>
        <w:t>purchase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food </w:t>
      </w:r>
      <w:proofErr w:type="spellStart"/>
      <w:r w:rsidRPr="003B7BE8">
        <w:rPr>
          <w:rFonts w:ascii="Arial" w:hAnsi="Arial" w:cs="Arial"/>
          <w:sz w:val="20"/>
          <w:szCs w:val="20"/>
        </w:rPr>
        <w:t>after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entering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shop</w:t>
      </w:r>
      <w:r w:rsidRPr="003B7BE8">
        <w:rPr>
          <w:rFonts w:ascii="Arial" w:hAnsi="Arial" w:cs="Arial"/>
          <w:sz w:val="20"/>
          <w:szCs w:val="20"/>
        </w:rPr>
        <w:t>;</w:t>
      </w:r>
    </w:p>
    <w:p w14:paraId="473021CD" w14:textId="30DA40BA" w:rsidR="003B7BE8" w:rsidRPr="003B7BE8" w:rsidRDefault="003B7BE8" w:rsidP="003B7BE8">
      <w:pPr>
        <w:pStyle w:val="Normlnweb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club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operator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posted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notice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on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club's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official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social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media profile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about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a "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security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measure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"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showed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signs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discriminatory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behavior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by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excluding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people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non-Czech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citizenship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from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club's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circle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visitors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measure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was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presented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Instagram post as </w:t>
      </w:r>
      <w:proofErr w:type="spellStart"/>
      <w:r w:rsidRPr="003B7BE8">
        <w:rPr>
          <w:rFonts w:ascii="Arial" w:hAnsi="Arial" w:cs="Arial"/>
          <w:sz w:val="20"/>
          <w:szCs w:val="20"/>
        </w:rPr>
        <w:t>an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effort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B7BE8">
        <w:rPr>
          <w:rFonts w:ascii="Arial" w:hAnsi="Arial" w:cs="Arial"/>
          <w:sz w:val="20"/>
          <w:szCs w:val="20"/>
        </w:rPr>
        <w:t>ensure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safety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B7BE8">
        <w:rPr>
          <w:rFonts w:ascii="Arial" w:hAnsi="Arial" w:cs="Arial"/>
          <w:sz w:val="20"/>
          <w:szCs w:val="20"/>
        </w:rPr>
        <w:t>peace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mind </w:t>
      </w:r>
      <w:proofErr w:type="spellStart"/>
      <w:r w:rsidRPr="003B7BE8">
        <w:rPr>
          <w:rFonts w:ascii="Arial" w:hAnsi="Arial" w:cs="Arial"/>
          <w:sz w:val="20"/>
          <w:szCs w:val="20"/>
        </w:rPr>
        <w:t>for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visitors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while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explicitly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stating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that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was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3B7BE8">
        <w:rPr>
          <w:rFonts w:ascii="Arial" w:hAnsi="Arial" w:cs="Arial"/>
          <w:sz w:val="20"/>
          <w:szCs w:val="20"/>
        </w:rPr>
        <w:t>directed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against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any </w:t>
      </w:r>
      <w:proofErr w:type="spellStart"/>
      <w:r w:rsidRPr="003B7BE8">
        <w:rPr>
          <w:rFonts w:ascii="Arial" w:hAnsi="Arial" w:cs="Arial"/>
          <w:sz w:val="20"/>
          <w:szCs w:val="20"/>
        </w:rPr>
        <w:t>particular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nationality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yet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very </w:t>
      </w:r>
      <w:proofErr w:type="spellStart"/>
      <w:r w:rsidRPr="003B7BE8">
        <w:rPr>
          <w:rFonts w:ascii="Arial" w:hAnsi="Arial" w:cs="Arial"/>
          <w:sz w:val="20"/>
          <w:szCs w:val="20"/>
        </w:rPr>
        <w:t>fact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selecting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customers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B7BE8">
        <w:rPr>
          <w:rFonts w:ascii="Arial" w:hAnsi="Arial" w:cs="Arial"/>
          <w:sz w:val="20"/>
          <w:szCs w:val="20"/>
        </w:rPr>
        <w:t>nationality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could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create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a feeling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exclusion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among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certain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groups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people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and lead to a </w:t>
      </w:r>
      <w:proofErr w:type="spellStart"/>
      <w:r w:rsidRPr="003B7BE8">
        <w:rPr>
          <w:rFonts w:ascii="Arial" w:hAnsi="Arial" w:cs="Arial"/>
          <w:sz w:val="20"/>
          <w:szCs w:val="20"/>
        </w:rPr>
        <w:t>violation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equal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treatment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consumers</w:t>
      </w:r>
      <w:proofErr w:type="spellEnd"/>
      <w:r w:rsidRPr="003B7BE8">
        <w:rPr>
          <w:rFonts w:ascii="Arial" w:hAnsi="Arial" w:cs="Arial"/>
          <w:sz w:val="20"/>
          <w:szCs w:val="20"/>
        </w:rPr>
        <w:t>.</w:t>
      </w:r>
    </w:p>
    <w:p w14:paraId="1960CA34" w14:textId="4C64063D" w:rsidR="003B7BE8" w:rsidRPr="003B7BE8" w:rsidRDefault="003B7BE8" w:rsidP="003B7BE8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3B7BE8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3B7BE8">
        <w:rPr>
          <w:rFonts w:ascii="Arial" w:hAnsi="Arial" w:cs="Arial"/>
          <w:sz w:val="20"/>
          <w:szCs w:val="20"/>
        </w:rPr>
        <w:t>addition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specific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focus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B7BE8">
        <w:rPr>
          <w:rFonts w:ascii="Arial" w:hAnsi="Arial" w:cs="Arial"/>
          <w:sz w:val="20"/>
          <w:szCs w:val="20"/>
        </w:rPr>
        <w:t>discrimination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69F9">
        <w:rPr>
          <w:rFonts w:ascii="Arial" w:hAnsi="Arial" w:cs="Arial"/>
          <w:sz w:val="20"/>
          <w:szCs w:val="20"/>
        </w:rPr>
        <w:t>inspection</w:t>
      </w:r>
      <w:proofErr w:type="spellEnd"/>
      <w:r w:rsidR="007B69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69F9">
        <w:rPr>
          <w:rFonts w:ascii="Arial" w:hAnsi="Arial" w:cs="Arial"/>
          <w:sz w:val="20"/>
          <w:szCs w:val="20"/>
        </w:rPr>
        <w:t>action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also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included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verification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compliance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other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provisions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applicable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legislation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B7BE8">
        <w:rPr>
          <w:rFonts w:ascii="Arial" w:hAnsi="Arial" w:cs="Arial"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regard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obligations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arising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from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Act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No. 634/1992 </w:t>
      </w:r>
      <w:proofErr w:type="spellStart"/>
      <w:r w:rsidRPr="003B7BE8">
        <w:rPr>
          <w:rFonts w:ascii="Arial" w:hAnsi="Arial" w:cs="Arial"/>
          <w:sz w:val="20"/>
          <w:szCs w:val="20"/>
        </w:rPr>
        <w:t>Coll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., on </w:t>
      </w:r>
      <w:proofErr w:type="spellStart"/>
      <w:r w:rsidRPr="003B7BE8">
        <w:rPr>
          <w:rFonts w:ascii="Arial" w:hAnsi="Arial" w:cs="Arial"/>
          <w:sz w:val="20"/>
          <w:szCs w:val="20"/>
        </w:rPr>
        <w:t>Consumer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Protection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3B7BE8">
        <w:rPr>
          <w:rFonts w:ascii="Arial" w:hAnsi="Arial" w:cs="Arial"/>
          <w:sz w:val="20"/>
          <w:szCs w:val="20"/>
        </w:rPr>
        <w:t>frequent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r w:rsidRPr="003B7BE8">
        <w:rPr>
          <w:rFonts w:ascii="Arial" w:hAnsi="Arial" w:cs="Arial"/>
          <w:b/>
          <w:bCs/>
          <w:sz w:val="20"/>
          <w:szCs w:val="20"/>
        </w:rPr>
        <w:t xml:space="preserve">in 5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violation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provisions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Section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12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qualified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sellers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did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3B7BE8">
        <w:rPr>
          <w:rFonts w:ascii="Arial" w:hAnsi="Arial" w:cs="Arial"/>
          <w:sz w:val="20"/>
          <w:szCs w:val="20"/>
        </w:rPr>
        <w:t>inform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consumer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about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prices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products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services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offered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B7BE8">
        <w:rPr>
          <w:rFonts w:ascii="Arial" w:hAnsi="Arial" w:cs="Arial"/>
          <w:sz w:val="20"/>
          <w:szCs w:val="20"/>
        </w:rPr>
        <w:t>accordance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price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regulations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3B7BE8">
        <w:rPr>
          <w:rFonts w:ascii="Arial" w:hAnsi="Arial" w:cs="Arial"/>
          <w:sz w:val="20"/>
          <w:szCs w:val="20"/>
        </w:rPr>
        <w:t>addition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r w:rsidRPr="003B7BE8">
        <w:rPr>
          <w:rFonts w:ascii="Arial" w:hAnsi="Arial" w:cs="Arial"/>
          <w:b/>
          <w:bCs/>
          <w:sz w:val="20"/>
          <w:szCs w:val="20"/>
        </w:rPr>
        <w:t xml:space="preserve">in 2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deficiencies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compliance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principles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fairness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sale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within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meaning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Section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3(1)(a)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found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3B7BE8">
        <w:rPr>
          <w:rFonts w:ascii="Arial" w:hAnsi="Arial" w:cs="Arial"/>
          <w:sz w:val="20"/>
          <w:szCs w:val="20"/>
        </w:rPr>
        <w:t>also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r w:rsidRPr="003B7BE8">
        <w:rPr>
          <w:rFonts w:ascii="Arial" w:hAnsi="Arial" w:cs="Arial"/>
          <w:b/>
          <w:bCs/>
          <w:sz w:val="20"/>
          <w:szCs w:val="20"/>
        </w:rPr>
        <w:t xml:space="preserve">in 2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use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unfair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commercial</w:t>
      </w:r>
      <w:proofErr w:type="spellEnd"/>
      <w:r w:rsidRPr="003B7BE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b/>
          <w:bCs/>
          <w:sz w:val="20"/>
          <w:szCs w:val="20"/>
        </w:rPr>
        <w:t>practices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under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Section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5a(1) </w:t>
      </w:r>
      <w:proofErr w:type="spellStart"/>
      <w:r w:rsidRPr="003B7BE8">
        <w:rPr>
          <w:rFonts w:ascii="Arial" w:hAnsi="Arial" w:cs="Arial"/>
          <w:sz w:val="20"/>
          <w:szCs w:val="20"/>
        </w:rPr>
        <w:t>was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found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BE8">
        <w:rPr>
          <w:rFonts w:ascii="Arial" w:hAnsi="Arial" w:cs="Arial"/>
          <w:sz w:val="20"/>
          <w:szCs w:val="20"/>
        </w:rPr>
        <w:t>where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seller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failed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B7BE8">
        <w:rPr>
          <w:rFonts w:ascii="Arial" w:hAnsi="Arial" w:cs="Arial"/>
          <w:sz w:val="20"/>
          <w:szCs w:val="20"/>
        </w:rPr>
        <w:t>provide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the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consumer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with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essential</w:t>
      </w:r>
      <w:proofErr w:type="spellEnd"/>
      <w:r w:rsidRPr="003B7B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BE8">
        <w:rPr>
          <w:rFonts w:ascii="Arial" w:hAnsi="Arial" w:cs="Arial"/>
          <w:sz w:val="20"/>
          <w:szCs w:val="20"/>
        </w:rPr>
        <w:t>information</w:t>
      </w:r>
      <w:proofErr w:type="spellEnd"/>
      <w:r w:rsidRPr="003B7BE8">
        <w:rPr>
          <w:rFonts w:ascii="Arial" w:hAnsi="Arial" w:cs="Arial"/>
          <w:sz w:val="20"/>
          <w:szCs w:val="20"/>
        </w:rPr>
        <w:t>.</w:t>
      </w:r>
    </w:p>
    <w:p w14:paraId="283D9288" w14:textId="77777777" w:rsidR="00562DFF" w:rsidRDefault="007232BD" w:rsidP="00D925C8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7232BD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7232BD">
        <w:rPr>
          <w:rFonts w:ascii="Arial" w:hAnsi="Arial" w:cs="Arial"/>
          <w:sz w:val="20"/>
          <w:szCs w:val="20"/>
        </w:rPr>
        <w:t>the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basis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of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the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detected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breaches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of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legal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regulations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within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the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supervisory </w:t>
      </w:r>
      <w:proofErr w:type="spellStart"/>
      <w:r w:rsidRPr="007232BD">
        <w:rPr>
          <w:rFonts w:ascii="Arial" w:hAnsi="Arial" w:cs="Arial"/>
          <w:sz w:val="20"/>
          <w:szCs w:val="20"/>
        </w:rPr>
        <w:t>competence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of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the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CTIA, </w:t>
      </w:r>
      <w:r w:rsidRPr="007232BD">
        <w:rPr>
          <w:rFonts w:ascii="Arial" w:hAnsi="Arial" w:cs="Arial"/>
          <w:b/>
          <w:bCs/>
          <w:sz w:val="20"/>
          <w:szCs w:val="20"/>
        </w:rPr>
        <w:t xml:space="preserve">16 fines in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period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from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1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April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2025 to 30 June 2025 in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amount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CZK 255,000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became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final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5 fines in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amount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CZK 183,000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imposed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connection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proven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discriminatory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b/>
          <w:bCs/>
          <w:sz w:val="20"/>
          <w:szCs w:val="20"/>
        </w:rPr>
        <w:t>behaviour</w:t>
      </w:r>
      <w:proofErr w:type="spellEnd"/>
      <w:r w:rsidRPr="007232BD">
        <w:rPr>
          <w:rFonts w:ascii="Arial" w:hAnsi="Arial" w:cs="Arial"/>
          <w:b/>
          <w:bCs/>
          <w:sz w:val="20"/>
          <w:szCs w:val="20"/>
        </w:rPr>
        <w:t>.</w:t>
      </w:r>
      <w:r w:rsidRPr="007232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232BD">
        <w:rPr>
          <w:rFonts w:ascii="Arial" w:hAnsi="Arial" w:cs="Arial"/>
          <w:sz w:val="20"/>
          <w:szCs w:val="20"/>
        </w:rPr>
        <w:t>some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32BD">
        <w:rPr>
          <w:rFonts w:ascii="Arial" w:hAnsi="Arial" w:cs="Arial"/>
          <w:sz w:val="20"/>
          <w:szCs w:val="20"/>
        </w:rPr>
        <w:t>cases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32BD">
        <w:rPr>
          <w:rFonts w:ascii="Arial" w:hAnsi="Arial" w:cs="Arial"/>
          <w:sz w:val="20"/>
          <w:szCs w:val="20"/>
        </w:rPr>
        <w:t>the</w:t>
      </w:r>
      <w:proofErr w:type="spellEnd"/>
      <w:r w:rsidRPr="007232BD">
        <w:rPr>
          <w:rFonts w:ascii="Arial" w:hAnsi="Arial" w:cs="Arial"/>
          <w:sz w:val="20"/>
          <w:szCs w:val="20"/>
        </w:rPr>
        <w:t xml:space="preserve"> fines are </w:t>
      </w:r>
      <w:proofErr w:type="spellStart"/>
      <w:r w:rsidRPr="007232BD">
        <w:rPr>
          <w:rFonts w:ascii="Arial" w:hAnsi="Arial" w:cs="Arial"/>
          <w:sz w:val="20"/>
          <w:szCs w:val="20"/>
        </w:rPr>
        <w:t>cumulative</w:t>
      </w:r>
      <w:proofErr w:type="spellEnd"/>
      <w:r w:rsidRPr="007232BD">
        <w:rPr>
          <w:rFonts w:ascii="Arial" w:hAnsi="Arial" w:cs="Arial"/>
          <w:sz w:val="20"/>
          <w:szCs w:val="20"/>
        </w:rPr>
        <w:t>.</w:t>
      </w:r>
    </w:p>
    <w:p w14:paraId="1BE7D3EA" w14:textId="5C35DE68" w:rsidR="00656822" w:rsidRPr="00562DFF" w:rsidRDefault="00562DFF" w:rsidP="00562DFF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562DFF">
        <w:rPr>
          <w:rFonts w:ascii="Arial" w:hAnsi="Arial" w:cs="Arial"/>
          <w:sz w:val="20"/>
          <w:szCs w:val="20"/>
        </w:rPr>
        <w:lastRenderedPageBreak/>
        <w:t>The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562DFF">
        <w:rPr>
          <w:rFonts w:ascii="Arial" w:hAnsi="Arial" w:cs="Arial"/>
          <w:sz w:val="20"/>
          <w:szCs w:val="20"/>
        </w:rPr>
        <w:t>Trade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Inspection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Authority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includes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inspections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focused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62DFF">
        <w:rPr>
          <w:rFonts w:ascii="Arial" w:hAnsi="Arial" w:cs="Arial"/>
          <w:sz w:val="20"/>
          <w:szCs w:val="20"/>
        </w:rPr>
        <w:t>some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form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of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discriminatory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behaviour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towards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consumers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62DFF">
        <w:rPr>
          <w:rFonts w:ascii="Arial" w:hAnsi="Arial" w:cs="Arial"/>
          <w:sz w:val="20"/>
          <w:szCs w:val="20"/>
        </w:rPr>
        <w:t>its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regular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inspection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activities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2DFF">
        <w:rPr>
          <w:rFonts w:ascii="Arial" w:hAnsi="Arial" w:cs="Arial"/>
          <w:sz w:val="20"/>
          <w:szCs w:val="20"/>
        </w:rPr>
        <w:t>Due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62DFF">
        <w:rPr>
          <w:rFonts w:ascii="Arial" w:hAnsi="Arial" w:cs="Arial"/>
          <w:sz w:val="20"/>
          <w:szCs w:val="20"/>
        </w:rPr>
        <w:t>the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seriousness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of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the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impact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62DFF">
        <w:rPr>
          <w:rFonts w:ascii="Arial" w:hAnsi="Arial" w:cs="Arial"/>
          <w:sz w:val="20"/>
          <w:szCs w:val="20"/>
        </w:rPr>
        <w:t>consumers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2DFF">
        <w:rPr>
          <w:rFonts w:ascii="Arial" w:hAnsi="Arial" w:cs="Arial"/>
          <w:sz w:val="20"/>
          <w:szCs w:val="20"/>
        </w:rPr>
        <w:t>this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issue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will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continue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62DFF">
        <w:rPr>
          <w:rFonts w:ascii="Arial" w:hAnsi="Arial" w:cs="Arial"/>
          <w:sz w:val="20"/>
          <w:szCs w:val="20"/>
        </w:rPr>
        <w:t>be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given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due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2DFF">
        <w:rPr>
          <w:rFonts w:ascii="Arial" w:hAnsi="Arial" w:cs="Arial"/>
          <w:sz w:val="20"/>
          <w:szCs w:val="20"/>
        </w:rPr>
        <w:t>attention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62DFF">
        <w:rPr>
          <w:rFonts w:ascii="Arial" w:hAnsi="Arial" w:cs="Arial"/>
          <w:sz w:val="20"/>
          <w:szCs w:val="20"/>
        </w:rPr>
        <w:t>the</w:t>
      </w:r>
      <w:proofErr w:type="spellEnd"/>
      <w:r w:rsidRPr="00562DFF">
        <w:rPr>
          <w:rFonts w:ascii="Arial" w:hAnsi="Arial" w:cs="Arial"/>
          <w:sz w:val="20"/>
          <w:szCs w:val="20"/>
        </w:rPr>
        <w:t xml:space="preserve"> CTIA.</w:t>
      </w:r>
    </w:p>
    <w:sectPr w:rsidR="00656822" w:rsidRPr="00562DFF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0B85" w14:textId="77777777" w:rsidR="0062052B" w:rsidRDefault="0062052B" w:rsidP="00807D68">
      <w:pPr>
        <w:spacing w:after="0" w:line="240" w:lineRule="auto"/>
      </w:pPr>
      <w:r>
        <w:separator/>
      </w:r>
    </w:p>
  </w:endnote>
  <w:endnote w:type="continuationSeparator" w:id="0">
    <w:p w14:paraId="4349533E" w14:textId="77777777" w:rsidR="0062052B" w:rsidRDefault="0062052B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C987" w14:textId="77777777" w:rsidR="0062052B" w:rsidRDefault="0062052B" w:rsidP="00807D68">
      <w:pPr>
        <w:spacing w:after="0" w:line="240" w:lineRule="auto"/>
      </w:pPr>
      <w:r>
        <w:separator/>
      </w:r>
    </w:p>
  </w:footnote>
  <w:footnote w:type="continuationSeparator" w:id="0">
    <w:p w14:paraId="381F5E4B" w14:textId="77777777" w:rsidR="0062052B" w:rsidRDefault="0062052B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7B4"/>
    <w:multiLevelType w:val="hybridMultilevel"/>
    <w:tmpl w:val="6EC635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20967A4"/>
    <w:multiLevelType w:val="hybridMultilevel"/>
    <w:tmpl w:val="1B00366E"/>
    <w:lvl w:ilvl="0" w:tplc="7D467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2"/>
  </w:num>
  <w:num w:numId="2" w16cid:durableId="513879739">
    <w:abstractNumId w:val="16"/>
  </w:num>
  <w:num w:numId="3" w16cid:durableId="2052920723">
    <w:abstractNumId w:val="8"/>
  </w:num>
  <w:num w:numId="4" w16cid:durableId="1442922314">
    <w:abstractNumId w:val="17"/>
  </w:num>
  <w:num w:numId="5" w16cid:durableId="1812483706">
    <w:abstractNumId w:val="18"/>
  </w:num>
  <w:num w:numId="6" w16cid:durableId="2041544689">
    <w:abstractNumId w:val="10"/>
  </w:num>
  <w:num w:numId="7" w16cid:durableId="97410661">
    <w:abstractNumId w:val="9"/>
  </w:num>
  <w:num w:numId="8" w16cid:durableId="969164436">
    <w:abstractNumId w:val="4"/>
  </w:num>
  <w:num w:numId="9" w16cid:durableId="323824122">
    <w:abstractNumId w:val="12"/>
  </w:num>
  <w:num w:numId="10" w16cid:durableId="416053402">
    <w:abstractNumId w:val="5"/>
  </w:num>
  <w:num w:numId="11" w16cid:durableId="1280600414">
    <w:abstractNumId w:val="19"/>
  </w:num>
  <w:num w:numId="12" w16cid:durableId="681981078">
    <w:abstractNumId w:val="0"/>
  </w:num>
  <w:num w:numId="13" w16cid:durableId="587806848">
    <w:abstractNumId w:val="7"/>
  </w:num>
  <w:num w:numId="14" w16cid:durableId="2029330390">
    <w:abstractNumId w:val="15"/>
  </w:num>
  <w:num w:numId="15" w16cid:durableId="1059745948">
    <w:abstractNumId w:val="14"/>
  </w:num>
  <w:num w:numId="16" w16cid:durableId="900596287">
    <w:abstractNumId w:val="3"/>
  </w:num>
  <w:num w:numId="17" w16cid:durableId="298924260">
    <w:abstractNumId w:val="1"/>
  </w:num>
  <w:num w:numId="18" w16cid:durableId="1535190663">
    <w:abstractNumId w:val="11"/>
  </w:num>
  <w:num w:numId="19" w16cid:durableId="1986541572">
    <w:abstractNumId w:val="13"/>
  </w:num>
  <w:num w:numId="20" w16cid:durableId="875697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28F5"/>
    <w:rsid w:val="00007B29"/>
    <w:rsid w:val="00016D10"/>
    <w:rsid w:val="0001789D"/>
    <w:rsid w:val="00024FF2"/>
    <w:rsid w:val="000266C9"/>
    <w:rsid w:val="00027E57"/>
    <w:rsid w:val="00041789"/>
    <w:rsid w:val="00051DD8"/>
    <w:rsid w:val="00056E6A"/>
    <w:rsid w:val="00060428"/>
    <w:rsid w:val="00070160"/>
    <w:rsid w:val="000741E3"/>
    <w:rsid w:val="0009199E"/>
    <w:rsid w:val="00094405"/>
    <w:rsid w:val="000B3C18"/>
    <w:rsid w:val="000B50B1"/>
    <w:rsid w:val="000C3EFE"/>
    <w:rsid w:val="000E2C64"/>
    <w:rsid w:val="000E5BAC"/>
    <w:rsid w:val="00126C89"/>
    <w:rsid w:val="001401CF"/>
    <w:rsid w:val="00142850"/>
    <w:rsid w:val="001472E1"/>
    <w:rsid w:val="00151CF6"/>
    <w:rsid w:val="00152827"/>
    <w:rsid w:val="00156FEF"/>
    <w:rsid w:val="00167F18"/>
    <w:rsid w:val="0018376F"/>
    <w:rsid w:val="001C38DE"/>
    <w:rsid w:val="001C3A0A"/>
    <w:rsid w:val="001D0E07"/>
    <w:rsid w:val="001D158E"/>
    <w:rsid w:val="001D5235"/>
    <w:rsid w:val="001E03F2"/>
    <w:rsid w:val="001F2757"/>
    <w:rsid w:val="0020122A"/>
    <w:rsid w:val="002012CC"/>
    <w:rsid w:val="00222FE5"/>
    <w:rsid w:val="00225F02"/>
    <w:rsid w:val="002726E7"/>
    <w:rsid w:val="0027510E"/>
    <w:rsid w:val="00275DB2"/>
    <w:rsid w:val="00291DB1"/>
    <w:rsid w:val="00293137"/>
    <w:rsid w:val="002B7C92"/>
    <w:rsid w:val="002C2749"/>
    <w:rsid w:val="002C3B1A"/>
    <w:rsid w:val="002F66F3"/>
    <w:rsid w:val="00315286"/>
    <w:rsid w:val="00333D84"/>
    <w:rsid w:val="0033467F"/>
    <w:rsid w:val="00350179"/>
    <w:rsid w:val="00364349"/>
    <w:rsid w:val="0037728A"/>
    <w:rsid w:val="00396437"/>
    <w:rsid w:val="003B6383"/>
    <w:rsid w:val="003B7BE8"/>
    <w:rsid w:val="003D4892"/>
    <w:rsid w:val="003E3B85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6C92"/>
    <w:rsid w:val="004C7528"/>
    <w:rsid w:val="004D523A"/>
    <w:rsid w:val="004F0671"/>
    <w:rsid w:val="004F3AA9"/>
    <w:rsid w:val="00522610"/>
    <w:rsid w:val="00534379"/>
    <w:rsid w:val="00543504"/>
    <w:rsid w:val="00550B65"/>
    <w:rsid w:val="00553666"/>
    <w:rsid w:val="005545CE"/>
    <w:rsid w:val="00562DFF"/>
    <w:rsid w:val="00565851"/>
    <w:rsid w:val="005702A5"/>
    <w:rsid w:val="00572CFD"/>
    <w:rsid w:val="00577B57"/>
    <w:rsid w:val="005837B9"/>
    <w:rsid w:val="00584DFD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7886"/>
    <w:rsid w:val="005F776A"/>
    <w:rsid w:val="0060731F"/>
    <w:rsid w:val="0061127C"/>
    <w:rsid w:val="0061158C"/>
    <w:rsid w:val="00612869"/>
    <w:rsid w:val="006138C0"/>
    <w:rsid w:val="0062052B"/>
    <w:rsid w:val="00622F40"/>
    <w:rsid w:val="0062305C"/>
    <w:rsid w:val="00643C96"/>
    <w:rsid w:val="00653A86"/>
    <w:rsid w:val="00656822"/>
    <w:rsid w:val="00663C7B"/>
    <w:rsid w:val="00681DA5"/>
    <w:rsid w:val="006849AE"/>
    <w:rsid w:val="006B6A4B"/>
    <w:rsid w:val="006D428D"/>
    <w:rsid w:val="006D7B69"/>
    <w:rsid w:val="006E3BFD"/>
    <w:rsid w:val="006F4540"/>
    <w:rsid w:val="006F6413"/>
    <w:rsid w:val="0070124B"/>
    <w:rsid w:val="00713EA7"/>
    <w:rsid w:val="00722ADF"/>
    <w:rsid w:val="007232BD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5B52"/>
    <w:rsid w:val="007A133A"/>
    <w:rsid w:val="007B4263"/>
    <w:rsid w:val="007B69F9"/>
    <w:rsid w:val="007C281E"/>
    <w:rsid w:val="007C3195"/>
    <w:rsid w:val="007C40CF"/>
    <w:rsid w:val="007D497F"/>
    <w:rsid w:val="007E237F"/>
    <w:rsid w:val="00807597"/>
    <w:rsid w:val="008078D2"/>
    <w:rsid w:val="00807D68"/>
    <w:rsid w:val="00821C27"/>
    <w:rsid w:val="008272FD"/>
    <w:rsid w:val="00834AD5"/>
    <w:rsid w:val="0086190A"/>
    <w:rsid w:val="008632A4"/>
    <w:rsid w:val="00867D43"/>
    <w:rsid w:val="008759EC"/>
    <w:rsid w:val="008764CE"/>
    <w:rsid w:val="008812AE"/>
    <w:rsid w:val="00885497"/>
    <w:rsid w:val="00890135"/>
    <w:rsid w:val="0089254F"/>
    <w:rsid w:val="0089409E"/>
    <w:rsid w:val="0089584F"/>
    <w:rsid w:val="008A156F"/>
    <w:rsid w:val="008A1E7D"/>
    <w:rsid w:val="008C6764"/>
    <w:rsid w:val="008E0FC4"/>
    <w:rsid w:val="008F22C0"/>
    <w:rsid w:val="008F3794"/>
    <w:rsid w:val="0090767D"/>
    <w:rsid w:val="00917CF5"/>
    <w:rsid w:val="00920976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B6AF4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8716E"/>
    <w:rsid w:val="00A95A44"/>
    <w:rsid w:val="00AD2EE9"/>
    <w:rsid w:val="00AD7F1B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97A9C"/>
    <w:rsid w:val="00BC3E32"/>
    <w:rsid w:val="00BE29F2"/>
    <w:rsid w:val="00BF01FF"/>
    <w:rsid w:val="00BF2E2A"/>
    <w:rsid w:val="00BF5CA1"/>
    <w:rsid w:val="00C136C8"/>
    <w:rsid w:val="00C241B4"/>
    <w:rsid w:val="00C41758"/>
    <w:rsid w:val="00C43D14"/>
    <w:rsid w:val="00C4704F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935"/>
    <w:rsid w:val="00D2107A"/>
    <w:rsid w:val="00D230ED"/>
    <w:rsid w:val="00D329DD"/>
    <w:rsid w:val="00D56037"/>
    <w:rsid w:val="00D66CD2"/>
    <w:rsid w:val="00D763A0"/>
    <w:rsid w:val="00D86729"/>
    <w:rsid w:val="00D925C8"/>
    <w:rsid w:val="00D93F3C"/>
    <w:rsid w:val="00D966A5"/>
    <w:rsid w:val="00DA77FD"/>
    <w:rsid w:val="00DB159A"/>
    <w:rsid w:val="00DC5B7E"/>
    <w:rsid w:val="00DC78D1"/>
    <w:rsid w:val="00DD5B22"/>
    <w:rsid w:val="00DE1E58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68AF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A314F"/>
    <w:rsid w:val="00FB39B8"/>
    <w:rsid w:val="00FB4BAB"/>
    <w:rsid w:val="00FD17BC"/>
    <w:rsid w:val="00FE4D31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78</cp:revision>
  <cp:lastPrinted>2025-01-14T15:40:00Z</cp:lastPrinted>
  <dcterms:created xsi:type="dcterms:W3CDTF">2025-05-02T08:29:00Z</dcterms:created>
  <dcterms:modified xsi:type="dcterms:W3CDTF">2025-08-27T09:08:00Z</dcterms:modified>
</cp:coreProperties>
</file>