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3A7" w14:textId="77777777" w:rsidR="00CF0332" w:rsidRPr="004A3BB4" w:rsidRDefault="00CF0332" w:rsidP="00CF0332">
      <w:pPr>
        <w:spacing w:before="240"/>
        <w:jc w:val="right"/>
        <w:rPr>
          <w:rFonts w:ascii="Arial" w:hAnsi="Arial" w:cs="Arial"/>
          <w:color w:val="2658A5"/>
          <w:sz w:val="48"/>
          <w:szCs w:val="48"/>
          <w:lang w:val="en-GB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</w:p>
    <w:p w14:paraId="7CCECD76" w14:textId="23FC6CB1" w:rsidR="00E92F36" w:rsidRPr="00E17B6A" w:rsidRDefault="00DF74CC" w:rsidP="00E92F36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Safety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starts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with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purchase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. As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1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December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r w:rsidR="00FB60BF">
        <w:rPr>
          <w:rFonts w:ascii="Arial" w:hAnsi="Arial" w:cs="Arial"/>
          <w:b/>
          <w:bCs/>
          <w:color w:val="2658A5"/>
          <w:sz w:val="32"/>
          <w:szCs w:val="32"/>
        </w:rPr>
        <w:br/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amendment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to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Pyrotechnics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Act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brings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changes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B60BF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to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conditions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for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5F7409">
        <w:rPr>
          <w:rFonts w:ascii="Arial" w:hAnsi="Arial" w:cs="Arial"/>
          <w:b/>
          <w:bCs/>
          <w:color w:val="2658A5"/>
          <w:sz w:val="32"/>
          <w:szCs w:val="32"/>
        </w:rPr>
        <w:t>procuring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B60BF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and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handling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pyrotechnics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in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shops</w:t>
      </w:r>
      <w:proofErr w:type="spellEnd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 xml:space="preserve"> and online </w:t>
      </w:r>
      <w:proofErr w:type="spellStart"/>
      <w:r w:rsidR="00E92F36" w:rsidRPr="00E92F36">
        <w:rPr>
          <w:rFonts w:ascii="Arial" w:hAnsi="Arial" w:cs="Arial"/>
          <w:b/>
          <w:bCs/>
          <w:color w:val="2658A5"/>
          <w:sz w:val="32"/>
          <w:szCs w:val="32"/>
        </w:rPr>
        <w:t>stores</w:t>
      </w:r>
      <w:proofErr w:type="spellEnd"/>
    </w:p>
    <w:p w14:paraId="36551109" w14:textId="77777777" w:rsidR="00C30561" w:rsidRDefault="00C30561" w:rsidP="005A5ED7">
      <w:pPr>
        <w:jc w:val="both"/>
        <w:rPr>
          <w:rFonts w:ascii="Arial" w:eastAsia="Calibri" w:hAnsi="Arial" w:cs="Arial"/>
          <w:sz w:val="20"/>
          <w:szCs w:val="20"/>
        </w:rPr>
      </w:pPr>
    </w:p>
    <w:p w14:paraId="5918D6CA" w14:textId="7B517B38" w:rsidR="00E92F36" w:rsidRPr="00E92F36" w:rsidRDefault="00E92F36" w:rsidP="00E92F36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E92F36">
        <w:rPr>
          <w:rFonts w:ascii="Arial" w:eastAsia="Calibri" w:hAnsi="Arial" w:cs="Arial"/>
          <w:sz w:val="20"/>
          <w:szCs w:val="20"/>
        </w:rPr>
        <w:t xml:space="preserve">(Prague, 27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November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2025)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safety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consumers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prevention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damage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health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and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property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were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main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reasons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for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preparation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amendment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Act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No. 206/2015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Coll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., on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their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handling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hereinafter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referred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as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Act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"),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which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introduces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new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rules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for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placing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supply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market and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their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handling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with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effect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from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1 </w:t>
      </w:r>
      <w:proofErr w:type="spellStart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>December</w:t>
      </w:r>
      <w:proofErr w:type="spellEnd"/>
      <w:r w:rsidRPr="00E92F36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2025. </w:t>
      </w:r>
    </w:p>
    <w:p w14:paraId="306F6787" w14:textId="5D2EC320" w:rsidR="00E92F36" w:rsidRDefault="00E92F36" w:rsidP="00E92F36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amended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text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Act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based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Directive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2013/29/EU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European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Parliament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sz w:val="20"/>
          <w:szCs w:val="20"/>
        </w:rPr>
        <w:br/>
      </w:r>
      <w:r w:rsidRPr="00E92F36">
        <w:rPr>
          <w:rFonts w:ascii="Arial" w:eastAsia="Calibri" w:hAnsi="Arial" w:cs="Arial"/>
          <w:sz w:val="20"/>
          <w:szCs w:val="20"/>
        </w:rPr>
        <w:t xml:space="preserve">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Council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supply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articles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market,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while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regulating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supervisory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responsibilities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involved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market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surveillance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authorities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State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Mining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Administration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sz w:val="20"/>
          <w:szCs w:val="20"/>
        </w:rPr>
        <w:br/>
      </w:r>
      <w:r w:rsidRPr="00E92F36">
        <w:rPr>
          <w:rFonts w:ascii="Arial" w:eastAsia="Calibri" w:hAnsi="Arial" w:cs="Arial"/>
          <w:sz w:val="20"/>
          <w:szCs w:val="20"/>
        </w:rPr>
        <w:t xml:space="preserve">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notified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body. </w:t>
      </w:r>
    </w:p>
    <w:p w14:paraId="6DE7E544" w14:textId="66007EDC" w:rsidR="00E92F36" w:rsidRDefault="00E92F36" w:rsidP="00E92F36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sz w:val="20"/>
          <w:szCs w:val="20"/>
        </w:rPr>
        <w:t>From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December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2025,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stricter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conditions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for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purchase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pyrotechnics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in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shops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and online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stores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apply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amended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law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sets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out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clear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rules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safe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handling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regulates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possibilities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sanctions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measures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situations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where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do not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comply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sz w:val="20"/>
          <w:szCs w:val="20"/>
        </w:rPr>
        <w:br/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safety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requirements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may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otherwise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endanger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safety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persons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other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public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interest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>.</w:t>
      </w:r>
    </w:p>
    <w:p w14:paraId="3591F25C" w14:textId="77777777" w:rsidR="00E92F36" w:rsidRPr="00E92F36" w:rsidRDefault="00E92F36" w:rsidP="00E92F36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competences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Czech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Trade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Inspection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Authority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will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continue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to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cover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categories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F1, F2, T1 and P1 in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marketing,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supply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storage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7A0AA82F" w14:textId="3C0FAEC4" w:rsidR="00E92F36" w:rsidRPr="00E92F36" w:rsidRDefault="00E92F36" w:rsidP="00E92F36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control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categories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F3, F4, T2 and P2,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including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their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sale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b/>
          <w:bCs/>
          <w:sz w:val="20"/>
          <w:szCs w:val="20"/>
        </w:rPr>
        <w:br/>
      </w:r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and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storage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falls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within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competence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Czech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Mining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Authority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or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District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Mining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b/>
          <w:bCs/>
          <w:sz w:val="20"/>
          <w:szCs w:val="20"/>
        </w:rPr>
        <w:t>Authorities</w:t>
      </w:r>
      <w:proofErr w:type="spellEnd"/>
      <w:r w:rsidRPr="00E92F36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1DB9499E" w14:textId="7CF59057" w:rsidR="00F8082B" w:rsidRDefault="00E92F36" w:rsidP="00F8082B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offer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fireworks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F7409">
        <w:rPr>
          <w:rFonts w:ascii="Arial" w:eastAsia="Calibri" w:hAnsi="Arial" w:cs="Arial"/>
          <w:sz w:val="20"/>
          <w:szCs w:val="20"/>
        </w:rPr>
        <w:t>undergo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biggest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changes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in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sale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pyrotechnics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online:</w:t>
      </w:r>
    </w:p>
    <w:p w14:paraId="1A82A65C" w14:textId="463F67C8" w:rsidR="00E92F36" w:rsidRPr="00F8082B" w:rsidRDefault="00F8082B" w:rsidP="00F8082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</w:t>
      </w:r>
      <w:r w:rsidR="00E92F36" w:rsidRPr="00F8082B">
        <w:rPr>
          <w:rFonts w:ascii="Arial" w:hAnsi="Arial" w:cs="Arial"/>
          <w:sz w:val="20"/>
          <w:szCs w:val="20"/>
        </w:rPr>
        <w:t>ellers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required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verify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age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buyer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in a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verifiable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way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for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example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via Bank Identity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or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MojeID</w:t>
      </w:r>
      <w:r w:rsidR="005F740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F7409">
        <w:rPr>
          <w:rFonts w:ascii="Arial" w:hAnsi="Arial" w:cs="Arial"/>
          <w:sz w:val="20"/>
          <w:szCs w:val="20"/>
        </w:rPr>
        <w:t>MyID</w:t>
      </w:r>
      <w:proofErr w:type="spellEnd"/>
      <w:r w:rsidR="005F7409">
        <w:rPr>
          <w:rFonts w:ascii="Arial" w:hAnsi="Arial" w:cs="Arial"/>
          <w:sz w:val="20"/>
          <w:szCs w:val="20"/>
        </w:rPr>
        <w:t>)</w:t>
      </w:r>
      <w:r w:rsidR="00E92F36" w:rsidRPr="00F8082B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the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same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sz w:val="20"/>
          <w:szCs w:val="20"/>
        </w:rPr>
        <w:t>conditions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apply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handover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purchased</w:t>
      </w:r>
      <w:proofErr w:type="spellEnd"/>
      <w:r w:rsidR="00E92F36"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92F36" w:rsidRPr="00F8082B">
        <w:rPr>
          <w:rFonts w:ascii="Arial" w:hAnsi="Arial" w:cs="Arial"/>
          <w:b/>
          <w:bCs/>
          <w:sz w:val="20"/>
          <w:szCs w:val="20"/>
        </w:rPr>
        <w:t>pyrotechnics</w:t>
      </w:r>
      <w:proofErr w:type="spellEnd"/>
      <w:r w:rsidR="00E92F36" w:rsidRPr="00F8082B">
        <w:rPr>
          <w:rFonts w:ascii="Arial" w:hAnsi="Arial" w:cs="Arial"/>
          <w:sz w:val="20"/>
          <w:szCs w:val="20"/>
        </w:rPr>
        <w:t xml:space="preserve">; </w:t>
      </w:r>
    </w:p>
    <w:p w14:paraId="2B2AAF76" w14:textId="3F7500E9" w:rsidR="00E92F36" w:rsidRPr="00617705" w:rsidRDefault="00E92F36" w:rsidP="00E92F3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8082B">
        <w:rPr>
          <w:rFonts w:ascii="Arial" w:hAnsi="Arial" w:cs="Arial"/>
          <w:sz w:val="20"/>
          <w:szCs w:val="20"/>
        </w:rPr>
        <w:t>picking</w:t>
      </w:r>
      <w:proofErr w:type="spellEnd"/>
      <w:r w:rsidRPr="00F8082B">
        <w:rPr>
          <w:rFonts w:ascii="Arial" w:hAnsi="Arial" w:cs="Arial"/>
          <w:sz w:val="20"/>
          <w:szCs w:val="20"/>
        </w:rPr>
        <w:t xml:space="preserve"> up </w:t>
      </w:r>
      <w:proofErr w:type="spellStart"/>
      <w:r w:rsidRPr="00F8082B">
        <w:rPr>
          <w:rFonts w:ascii="Arial" w:hAnsi="Arial" w:cs="Arial"/>
          <w:sz w:val="20"/>
          <w:szCs w:val="20"/>
        </w:rPr>
        <w:t>pyrotechnics</w:t>
      </w:r>
      <w:proofErr w:type="spellEnd"/>
      <w:r w:rsidRPr="00F8082B">
        <w:rPr>
          <w:rFonts w:ascii="Arial" w:hAnsi="Arial" w:cs="Arial"/>
          <w:sz w:val="20"/>
          <w:szCs w:val="20"/>
        </w:rPr>
        <w:t xml:space="preserve"> </w:t>
      </w:r>
      <w:r w:rsidRPr="00F8082B">
        <w:rPr>
          <w:rFonts w:ascii="Arial" w:hAnsi="Arial" w:cs="Arial"/>
          <w:b/>
          <w:bCs/>
          <w:sz w:val="20"/>
          <w:szCs w:val="20"/>
        </w:rPr>
        <w:t xml:space="preserve">via </w:t>
      </w:r>
      <w:proofErr w:type="spellStart"/>
      <w:r w:rsidRPr="00F8082B">
        <w:rPr>
          <w:rFonts w:ascii="Arial" w:hAnsi="Arial" w:cs="Arial"/>
          <w:b/>
          <w:bCs/>
          <w:sz w:val="20"/>
          <w:szCs w:val="20"/>
        </w:rPr>
        <w:t>vending</w:t>
      </w:r>
      <w:proofErr w:type="spellEnd"/>
      <w:r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hAnsi="Arial" w:cs="Arial"/>
          <w:b/>
          <w:bCs/>
          <w:sz w:val="20"/>
          <w:szCs w:val="20"/>
        </w:rPr>
        <w:t>machines</w:t>
      </w:r>
      <w:proofErr w:type="spellEnd"/>
      <w:r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hAnsi="Arial" w:cs="Arial"/>
          <w:b/>
          <w:bCs/>
          <w:sz w:val="20"/>
          <w:szCs w:val="20"/>
        </w:rPr>
        <w:t>is</w:t>
      </w:r>
      <w:proofErr w:type="spellEnd"/>
      <w:r w:rsidRPr="00F808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hAnsi="Arial" w:cs="Arial"/>
          <w:b/>
          <w:bCs/>
          <w:sz w:val="20"/>
          <w:szCs w:val="20"/>
        </w:rPr>
        <w:t>excluded</w:t>
      </w:r>
      <w:proofErr w:type="spellEnd"/>
      <w:r w:rsidRPr="00F8082B">
        <w:rPr>
          <w:rFonts w:ascii="Arial" w:hAnsi="Arial" w:cs="Arial"/>
          <w:sz w:val="20"/>
          <w:szCs w:val="20"/>
        </w:rPr>
        <w:t>.</w:t>
      </w:r>
    </w:p>
    <w:p w14:paraId="50A8738D" w14:textId="40B05DCF" w:rsidR="00E92F36" w:rsidRPr="00E92F36" w:rsidRDefault="00E92F36" w:rsidP="00E92F36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sz w:val="20"/>
          <w:szCs w:val="20"/>
        </w:rPr>
        <w:t>Compliance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basic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requirements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safety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their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control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through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verification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conformity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assessment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process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including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verification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registration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sz w:val="20"/>
          <w:szCs w:val="20"/>
        </w:rPr>
        <w:br/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individual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notified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bodies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that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participated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conformity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assessment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process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before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placing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market,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also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be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part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Authority's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inspections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. </w:t>
      </w:r>
    </w:p>
    <w:p w14:paraId="749ED203" w14:textId="5F48B8A8" w:rsidR="00E92F36" w:rsidRPr="00F8082B" w:rsidRDefault="00E92F36" w:rsidP="00E92F36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92F36">
        <w:rPr>
          <w:rFonts w:ascii="Arial" w:eastAsia="Calibri" w:hAnsi="Arial" w:cs="Arial"/>
          <w:sz w:val="20"/>
          <w:szCs w:val="20"/>
        </w:rPr>
        <w:t xml:space="preserve">All these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conditions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aimed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protecting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public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from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unprofessional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dangerous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handling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sz w:val="20"/>
          <w:szCs w:val="20"/>
        </w:rPr>
        <w:br/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pyrotechnics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especially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during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holiday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celebration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period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when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their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use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increases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significantly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Sellers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and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consumers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are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therefore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advised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to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remember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that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safety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starts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B60BF">
        <w:rPr>
          <w:rFonts w:ascii="Arial" w:eastAsia="Calibri" w:hAnsi="Arial" w:cs="Arial"/>
          <w:b/>
          <w:bCs/>
          <w:sz w:val="20"/>
          <w:szCs w:val="20"/>
        </w:rPr>
        <w:br/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with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F8082B">
        <w:rPr>
          <w:rFonts w:ascii="Arial" w:eastAsia="Calibri" w:hAnsi="Arial" w:cs="Arial"/>
          <w:b/>
          <w:bCs/>
          <w:sz w:val="20"/>
          <w:szCs w:val="20"/>
        </w:rPr>
        <w:t>purchase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B91E19F" w14:textId="08FAE456" w:rsidR="00E92F36" w:rsidRPr="009B7BFD" w:rsidRDefault="00E92F36" w:rsidP="009B7BFD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E92F36">
        <w:rPr>
          <w:rFonts w:ascii="Arial" w:eastAsia="Calibri" w:hAnsi="Arial" w:cs="Arial"/>
          <w:sz w:val="20"/>
          <w:szCs w:val="20"/>
        </w:rPr>
        <w:t>Further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details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amendment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92F36">
        <w:rPr>
          <w:rFonts w:ascii="Arial" w:eastAsia="Calibri" w:hAnsi="Arial" w:cs="Arial"/>
          <w:sz w:val="20"/>
          <w:szCs w:val="20"/>
        </w:rPr>
        <w:t>can</w:t>
      </w:r>
      <w:proofErr w:type="spellEnd"/>
      <w:r w:rsidRPr="00E92F3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B32E1E">
        <w:rPr>
          <w:rFonts w:ascii="Arial" w:eastAsia="Calibri" w:hAnsi="Arial" w:cs="Arial"/>
          <w:b/>
          <w:bCs/>
          <w:sz w:val="20"/>
          <w:szCs w:val="20"/>
        </w:rPr>
        <w:t>also</w:t>
      </w:r>
      <w:proofErr w:type="spellEnd"/>
      <w:r w:rsidRPr="00B32E1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B32E1E">
        <w:rPr>
          <w:rFonts w:ascii="Arial" w:eastAsia="Calibri" w:hAnsi="Arial" w:cs="Arial"/>
          <w:b/>
          <w:bCs/>
          <w:sz w:val="20"/>
          <w:szCs w:val="20"/>
        </w:rPr>
        <w:t>be</w:t>
      </w:r>
      <w:proofErr w:type="spellEnd"/>
      <w:r w:rsidRPr="00B32E1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B32E1E">
        <w:rPr>
          <w:rFonts w:ascii="Arial" w:eastAsia="Calibri" w:hAnsi="Arial" w:cs="Arial"/>
          <w:b/>
          <w:bCs/>
          <w:sz w:val="20"/>
          <w:szCs w:val="20"/>
        </w:rPr>
        <w:t>found</w:t>
      </w:r>
      <w:proofErr w:type="spellEnd"/>
      <w:r w:rsidRPr="00B32E1E">
        <w:rPr>
          <w:rFonts w:ascii="Arial" w:eastAsia="Calibri" w:hAnsi="Arial" w:cs="Arial"/>
          <w:b/>
          <w:bCs/>
          <w:sz w:val="20"/>
          <w:szCs w:val="20"/>
        </w:rPr>
        <w:t xml:space="preserve"> on </w:t>
      </w:r>
      <w:proofErr w:type="spellStart"/>
      <w:r w:rsidRPr="00B32E1E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F808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9" w:history="1">
        <w:r w:rsidRPr="00B32E1E">
          <w:rPr>
            <w:rStyle w:val="Hypertextovodkaz"/>
            <w:rFonts w:ascii="Arial" w:eastAsia="Calibri" w:hAnsi="Arial" w:cs="Arial"/>
            <w:sz w:val="20"/>
            <w:szCs w:val="20"/>
          </w:rPr>
          <w:t xml:space="preserve">MIT </w:t>
        </w:r>
        <w:proofErr w:type="spellStart"/>
        <w:r w:rsidRPr="00B32E1E">
          <w:rPr>
            <w:rStyle w:val="Hypertextovodkaz"/>
            <w:rFonts w:ascii="Arial" w:eastAsia="Calibri" w:hAnsi="Arial" w:cs="Arial"/>
            <w:sz w:val="20"/>
            <w:szCs w:val="20"/>
          </w:rPr>
          <w:t>website</w:t>
        </w:r>
        <w:proofErr w:type="spellEnd"/>
      </w:hyperlink>
      <w:r w:rsidRPr="00B32E1E">
        <w:rPr>
          <w:rFonts w:ascii="Arial" w:eastAsia="Calibri" w:hAnsi="Arial" w:cs="Arial"/>
          <w:sz w:val="20"/>
          <w:szCs w:val="20"/>
        </w:rPr>
        <w:t>.</w:t>
      </w:r>
    </w:p>
    <w:sectPr w:rsidR="00E92F36" w:rsidRPr="009B7BFD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410B" w14:textId="77777777" w:rsidR="003E070C" w:rsidRDefault="003E070C" w:rsidP="00807D68">
      <w:pPr>
        <w:spacing w:after="0" w:line="240" w:lineRule="auto"/>
      </w:pPr>
      <w:r>
        <w:separator/>
      </w:r>
    </w:p>
  </w:endnote>
  <w:endnote w:type="continuationSeparator" w:id="0">
    <w:p w14:paraId="3C06DC8D" w14:textId="77777777" w:rsidR="003E070C" w:rsidRDefault="003E070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Spokesperson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of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the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</w:t>
                    </w:r>
                    <w:proofErr w:type="spellEnd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09F4" w14:textId="77777777" w:rsidR="003E070C" w:rsidRDefault="003E070C" w:rsidP="00807D68">
      <w:pPr>
        <w:spacing w:after="0" w:line="240" w:lineRule="auto"/>
      </w:pPr>
      <w:r>
        <w:separator/>
      </w:r>
    </w:p>
  </w:footnote>
  <w:footnote w:type="continuationSeparator" w:id="0">
    <w:p w14:paraId="6B49A7C9" w14:textId="77777777" w:rsidR="003E070C" w:rsidRDefault="003E070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D92"/>
    <w:multiLevelType w:val="hybridMultilevel"/>
    <w:tmpl w:val="071E561E"/>
    <w:lvl w:ilvl="0" w:tplc="640EF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6A20"/>
    <w:multiLevelType w:val="hybridMultilevel"/>
    <w:tmpl w:val="051C7506"/>
    <w:lvl w:ilvl="0" w:tplc="C6DA3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E34C8"/>
    <w:multiLevelType w:val="hybridMultilevel"/>
    <w:tmpl w:val="D0FA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92BF0"/>
    <w:multiLevelType w:val="hybridMultilevel"/>
    <w:tmpl w:val="91669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84F2F"/>
    <w:multiLevelType w:val="hybridMultilevel"/>
    <w:tmpl w:val="493A83B4"/>
    <w:lvl w:ilvl="0" w:tplc="B98E221E"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E28D1"/>
    <w:multiLevelType w:val="hybridMultilevel"/>
    <w:tmpl w:val="4622F354"/>
    <w:lvl w:ilvl="0" w:tplc="487642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73504">
    <w:abstractNumId w:val="3"/>
  </w:num>
  <w:num w:numId="2" w16cid:durableId="513879739">
    <w:abstractNumId w:val="20"/>
  </w:num>
  <w:num w:numId="3" w16cid:durableId="2052920723">
    <w:abstractNumId w:val="9"/>
  </w:num>
  <w:num w:numId="4" w16cid:durableId="1442922314">
    <w:abstractNumId w:val="21"/>
  </w:num>
  <w:num w:numId="5" w16cid:durableId="1812483706">
    <w:abstractNumId w:val="22"/>
  </w:num>
  <w:num w:numId="6" w16cid:durableId="2041544689">
    <w:abstractNumId w:val="11"/>
  </w:num>
  <w:num w:numId="7" w16cid:durableId="97410661">
    <w:abstractNumId w:val="10"/>
  </w:num>
  <w:num w:numId="8" w16cid:durableId="969164436">
    <w:abstractNumId w:val="5"/>
  </w:num>
  <w:num w:numId="9" w16cid:durableId="323824122">
    <w:abstractNumId w:val="14"/>
  </w:num>
  <w:num w:numId="10" w16cid:durableId="416053402">
    <w:abstractNumId w:val="6"/>
  </w:num>
  <w:num w:numId="11" w16cid:durableId="1280600414">
    <w:abstractNumId w:val="23"/>
  </w:num>
  <w:num w:numId="12" w16cid:durableId="681981078">
    <w:abstractNumId w:val="1"/>
  </w:num>
  <w:num w:numId="13" w16cid:durableId="587806848">
    <w:abstractNumId w:val="8"/>
  </w:num>
  <w:num w:numId="14" w16cid:durableId="2029330390">
    <w:abstractNumId w:val="17"/>
  </w:num>
  <w:num w:numId="15" w16cid:durableId="1059745948">
    <w:abstractNumId w:val="15"/>
  </w:num>
  <w:num w:numId="16" w16cid:durableId="900596287">
    <w:abstractNumId w:val="4"/>
  </w:num>
  <w:num w:numId="17" w16cid:durableId="298924260">
    <w:abstractNumId w:val="2"/>
  </w:num>
  <w:num w:numId="18" w16cid:durableId="1535190663">
    <w:abstractNumId w:val="12"/>
  </w:num>
  <w:num w:numId="19" w16cid:durableId="171189359">
    <w:abstractNumId w:val="18"/>
  </w:num>
  <w:num w:numId="20" w16cid:durableId="1240795784">
    <w:abstractNumId w:val="0"/>
  </w:num>
  <w:num w:numId="21" w16cid:durableId="895313175">
    <w:abstractNumId w:val="13"/>
  </w:num>
  <w:num w:numId="22" w16cid:durableId="649946431">
    <w:abstractNumId w:val="16"/>
  </w:num>
  <w:num w:numId="23" w16cid:durableId="1995602917">
    <w:abstractNumId w:val="7"/>
  </w:num>
  <w:num w:numId="24" w16cid:durableId="240408844">
    <w:abstractNumId w:val="19"/>
  </w:num>
  <w:num w:numId="25" w16cid:durableId="942495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1789D"/>
    <w:rsid w:val="00024FF2"/>
    <w:rsid w:val="000266C9"/>
    <w:rsid w:val="00041789"/>
    <w:rsid w:val="00051DD8"/>
    <w:rsid w:val="00056E6A"/>
    <w:rsid w:val="000741E3"/>
    <w:rsid w:val="0009199E"/>
    <w:rsid w:val="00094405"/>
    <w:rsid w:val="000B3C18"/>
    <w:rsid w:val="000C26E7"/>
    <w:rsid w:val="000C3EFE"/>
    <w:rsid w:val="000D268B"/>
    <w:rsid w:val="000E2C64"/>
    <w:rsid w:val="000F46E6"/>
    <w:rsid w:val="001401CF"/>
    <w:rsid w:val="00142850"/>
    <w:rsid w:val="001472E1"/>
    <w:rsid w:val="00151CF6"/>
    <w:rsid w:val="00152827"/>
    <w:rsid w:val="00156FEF"/>
    <w:rsid w:val="00167F18"/>
    <w:rsid w:val="00181521"/>
    <w:rsid w:val="001B58A1"/>
    <w:rsid w:val="001C38DE"/>
    <w:rsid w:val="001D0E07"/>
    <w:rsid w:val="001D158E"/>
    <w:rsid w:val="001D5235"/>
    <w:rsid w:val="001E03F2"/>
    <w:rsid w:val="001F03BB"/>
    <w:rsid w:val="001F2757"/>
    <w:rsid w:val="0020122A"/>
    <w:rsid w:val="002012CC"/>
    <w:rsid w:val="00221433"/>
    <w:rsid w:val="00222FE5"/>
    <w:rsid w:val="00225F02"/>
    <w:rsid w:val="00240D72"/>
    <w:rsid w:val="002506C6"/>
    <w:rsid w:val="002726E7"/>
    <w:rsid w:val="0027510E"/>
    <w:rsid w:val="00275DB2"/>
    <w:rsid w:val="00280DA9"/>
    <w:rsid w:val="00291DB1"/>
    <w:rsid w:val="00293137"/>
    <w:rsid w:val="00294E0F"/>
    <w:rsid w:val="002B4526"/>
    <w:rsid w:val="002B7C92"/>
    <w:rsid w:val="002C2749"/>
    <w:rsid w:val="002C3B1A"/>
    <w:rsid w:val="002F0066"/>
    <w:rsid w:val="002F66F3"/>
    <w:rsid w:val="00333D84"/>
    <w:rsid w:val="0033467F"/>
    <w:rsid w:val="00350179"/>
    <w:rsid w:val="00364349"/>
    <w:rsid w:val="0037728A"/>
    <w:rsid w:val="003775B6"/>
    <w:rsid w:val="003B5935"/>
    <w:rsid w:val="003B6383"/>
    <w:rsid w:val="003D4892"/>
    <w:rsid w:val="003E070C"/>
    <w:rsid w:val="003E0DCC"/>
    <w:rsid w:val="003E3B85"/>
    <w:rsid w:val="003E7BA9"/>
    <w:rsid w:val="003F1C2E"/>
    <w:rsid w:val="003F2528"/>
    <w:rsid w:val="00432A70"/>
    <w:rsid w:val="0043419B"/>
    <w:rsid w:val="00440337"/>
    <w:rsid w:val="00450385"/>
    <w:rsid w:val="00451EC4"/>
    <w:rsid w:val="00452C7A"/>
    <w:rsid w:val="00453D2C"/>
    <w:rsid w:val="0046373B"/>
    <w:rsid w:val="004934BD"/>
    <w:rsid w:val="00493D8C"/>
    <w:rsid w:val="00494ACB"/>
    <w:rsid w:val="0049637D"/>
    <w:rsid w:val="004A131F"/>
    <w:rsid w:val="004A3808"/>
    <w:rsid w:val="004A3BB4"/>
    <w:rsid w:val="004A3BFF"/>
    <w:rsid w:val="004A4763"/>
    <w:rsid w:val="004B1D54"/>
    <w:rsid w:val="004B6C92"/>
    <w:rsid w:val="004C7528"/>
    <w:rsid w:val="004E5419"/>
    <w:rsid w:val="004E6E5A"/>
    <w:rsid w:val="004F0671"/>
    <w:rsid w:val="004F3AA9"/>
    <w:rsid w:val="00534379"/>
    <w:rsid w:val="00537EC6"/>
    <w:rsid w:val="00543504"/>
    <w:rsid w:val="00550B65"/>
    <w:rsid w:val="00553666"/>
    <w:rsid w:val="005545CE"/>
    <w:rsid w:val="00556DD1"/>
    <w:rsid w:val="00562A21"/>
    <w:rsid w:val="00565851"/>
    <w:rsid w:val="005702A5"/>
    <w:rsid w:val="00572CFD"/>
    <w:rsid w:val="00576328"/>
    <w:rsid w:val="00577B57"/>
    <w:rsid w:val="005837B9"/>
    <w:rsid w:val="005864FF"/>
    <w:rsid w:val="005923C5"/>
    <w:rsid w:val="00592460"/>
    <w:rsid w:val="00592791"/>
    <w:rsid w:val="00592C1D"/>
    <w:rsid w:val="00596AAD"/>
    <w:rsid w:val="005A0FA4"/>
    <w:rsid w:val="005A3A49"/>
    <w:rsid w:val="005A5ED7"/>
    <w:rsid w:val="005B2A55"/>
    <w:rsid w:val="005B423B"/>
    <w:rsid w:val="005B713A"/>
    <w:rsid w:val="005B7CCE"/>
    <w:rsid w:val="005C435F"/>
    <w:rsid w:val="005D086B"/>
    <w:rsid w:val="005D0B2C"/>
    <w:rsid w:val="005D105B"/>
    <w:rsid w:val="005D528E"/>
    <w:rsid w:val="005E3D23"/>
    <w:rsid w:val="005E7886"/>
    <w:rsid w:val="005F7409"/>
    <w:rsid w:val="005F776A"/>
    <w:rsid w:val="0060731F"/>
    <w:rsid w:val="0061127C"/>
    <w:rsid w:val="006138C0"/>
    <w:rsid w:val="00617705"/>
    <w:rsid w:val="00622F40"/>
    <w:rsid w:val="0062305C"/>
    <w:rsid w:val="00640418"/>
    <w:rsid w:val="00643C96"/>
    <w:rsid w:val="00653A86"/>
    <w:rsid w:val="00656822"/>
    <w:rsid w:val="00663C7B"/>
    <w:rsid w:val="0066517F"/>
    <w:rsid w:val="00681DA5"/>
    <w:rsid w:val="006849AE"/>
    <w:rsid w:val="00692FC5"/>
    <w:rsid w:val="0069734D"/>
    <w:rsid w:val="006B6A4B"/>
    <w:rsid w:val="006D034B"/>
    <w:rsid w:val="006D428D"/>
    <w:rsid w:val="006D7B69"/>
    <w:rsid w:val="006E3BFD"/>
    <w:rsid w:val="006F1CA7"/>
    <w:rsid w:val="006F4540"/>
    <w:rsid w:val="006F4603"/>
    <w:rsid w:val="006F6413"/>
    <w:rsid w:val="0070124B"/>
    <w:rsid w:val="00713EA7"/>
    <w:rsid w:val="00721F45"/>
    <w:rsid w:val="00722ADF"/>
    <w:rsid w:val="00724E8E"/>
    <w:rsid w:val="0073078E"/>
    <w:rsid w:val="00732996"/>
    <w:rsid w:val="00735ACA"/>
    <w:rsid w:val="00735C36"/>
    <w:rsid w:val="00735F52"/>
    <w:rsid w:val="00750EB0"/>
    <w:rsid w:val="00752488"/>
    <w:rsid w:val="007563C7"/>
    <w:rsid w:val="00760A0A"/>
    <w:rsid w:val="007705F7"/>
    <w:rsid w:val="00770D28"/>
    <w:rsid w:val="00771930"/>
    <w:rsid w:val="00772B97"/>
    <w:rsid w:val="00782B6E"/>
    <w:rsid w:val="00785B52"/>
    <w:rsid w:val="007A133A"/>
    <w:rsid w:val="007B4263"/>
    <w:rsid w:val="007C281E"/>
    <w:rsid w:val="007C3195"/>
    <w:rsid w:val="007C40CF"/>
    <w:rsid w:val="007D497F"/>
    <w:rsid w:val="007E237F"/>
    <w:rsid w:val="007E26E9"/>
    <w:rsid w:val="007E3E42"/>
    <w:rsid w:val="007E750E"/>
    <w:rsid w:val="008078D2"/>
    <w:rsid w:val="00807D68"/>
    <w:rsid w:val="008118AE"/>
    <w:rsid w:val="00821C27"/>
    <w:rsid w:val="008272FD"/>
    <w:rsid w:val="00827C92"/>
    <w:rsid w:val="00834AD5"/>
    <w:rsid w:val="0086190A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56F"/>
    <w:rsid w:val="008A1E7D"/>
    <w:rsid w:val="008D1208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08EF"/>
    <w:rsid w:val="00961809"/>
    <w:rsid w:val="009665AF"/>
    <w:rsid w:val="00967EDD"/>
    <w:rsid w:val="009703AB"/>
    <w:rsid w:val="00970F06"/>
    <w:rsid w:val="00971704"/>
    <w:rsid w:val="00973692"/>
    <w:rsid w:val="009B7BFD"/>
    <w:rsid w:val="009E32D6"/>
    <w:rsid w:val="009F2D9C"/>
    <w:rsid w:val="009F5228"/>
    <w:rsid w:val="00A03AD0"/>
    <w:rsid w:val="00A047F4"/>
    <w:rsid w:val="00A04DA8"/>
    <w:rsid w:val="00A25EA9"/>
    <w:rsid w:val="00A57931"/>
    <w:rsid w:val="00A66848"/>
    <w:rsid w:val="00A7148C"/>
    <w:rsid w:val="00A722B2"/>
    <w:rsid w:val="00A81783"/>
    <w:rsid w:val="00A8716E"/>
    <w:rsid w:val="00A95A44"/>
    <w:rsid w:val="00AD2EE9"/>
    <w:rsid w:val="00AD7F1B"/>
    <w:rsid w:val="00AE111D"/>
    <w:rsid w:val="00AF447F"/>
    <w:rsid w:val="00AF56FC"/>
    <w:rsid w:val="00B048A3"/>
    <w:rsid w:val="00B14B7E"/>
    <w:rsid w:val="00B205BA"/>
    <w:rsid w:val="00B20F24"/>
    <w:rsid w:val="00B30411"/>
    <w:rsid w:val="00B32E1E"/>
    <w:rsid w:val="00B33E3A"/>
    <w:rsid w:val="00B40171"/>
    <w:rsid w:val="00B44F4B"/>
    <w:rsid w:val="00B47405"/>
    <w:rsid w:val="00B6514F"/>
    <w:rsid w:val="00B7056B"/>
    <w:rsid w:val="00B87A0C"/>
    <w:rsid w:val="00B97A9C"/>
    <w:rsid w:val="00BE0858"/>
    <w:rsid w:val="00BE29F2"/>
    <w:rsid w:val="00BF01FF"/>
    <w:rsid w:val="00BF5CA1"/>
    <w:rsid w:val="00C12A9F"/>
    <w:rsid w:val="00C136C8"/>
    <w:rsid w:val="00C15DAF"/>
    <w:rsid w:val="00C2059D"/>
    <w:rsid w:val="00C241B4"/>
    <w:rsid w:val="00C30561"/>
    <w:rsid w:val="00C41758"/>
    <w:rsid w:val="00C43D14"/>
    <w:rsid w:val="00C4704F"/>
    <w:rsid w:val="00C504F2"/>
    <w:rsid w:val="00C66BBF"/>
    <w:rsid w:val="00C7630B"/>
    <w:rsid w:val="00C826FB"/>
    <w:rsid w:val="00C90CC8"/>
    <w:rsid w:val="00C937E8"/>
    <w:rsid w:val="00C97D46"/>
    <w:rsid w:val="00CB6F4F"/>
    <w:rsid w:val="00CC179A"/>
    <w:rsid w:val="00CC508C"/>
    <w:rsid w:val="00CD11D7"/>
    <w:rsid w:val="00CE40CA"/>
    <w:rsid w:val="00CE5986"/>
    <w:rsid w:val="00CF0332"/>
    <w:rsid w:val="00CF39B0"/>
    <w:rsid w:val="00CF6F01"/>
    <w:rsid w:val="00D00046"/>
    <w:rsid w:val="00D05E07"/>
    <w:rsid w:val="00D100A7"/>
    <w:rsid w:val="00D12F17"/>
    <w:rsid w:val="00D1317D"/>
    <w:rsid w:val="00D134C5"/>
    <w:rsid w:val="00D13935"/>
    <w:rsid w:val="00D142CF"/>
    <w:rsid w:val="00D2107A"/>
    <w:rsid w:val="00D230ED"/>
    <w:rsid w:val="00D24B50"/>
    <w:rsid w:val="00D26B56"/>
    <w:rsid w:val="00D329DD"/>
    <w:rsid w:val="00D56037"/>
    <w:rsid w:val="00D66CD2"/>
    <w:rsid w:val="00D763A0"/>
    <w:rsid w:val="00D86729"/>
    <w:rsid w:val="00D93F3C"/>
    <w:rsid w:val="00D966A5"/>
    <w:rsid w:val="00DA3CAA"/>
    <w:rsid w:val="00DA77FD"/>
    <w:rsid w:val="00DB159A"/>
    <w:rsid w:val="00DC5B7E"/>
    <w:rsid w:val="00DC78D1"/>
    <w:rsid w:val="00DD5B22"/>
    <w:rsid w:val="00DE1E58"/>
    <w:rsid w:val="00DF3DDD"/>
    <w:rsid w:val="00DF74CC"/>
    <w:rsid w:val="00E01D17"/>
    <w:rsid w:val="00E061A5"/>
    <w:rsid w:val="00E17BF0"/>
    <w:rsid w:val="00E22478"/>
    <w:rsid w:val="00E2519C"/>
    <w:rsid w:val="00E26DC2"/>
    <w:rsid w:val="00E27FB5"/>
    <w:rsid w:val="00E42A53"/>
    <w:rsid w:val="00E45658"/>
    <w:rsid w:val="00E502CE"/>
    <w:rsid w:val="00E53779"/>
    <w:rsid w:val="00E53D4A"/>
    <w:rsid w:val="00E561BC"/>
    <w:rsid w:val="00E74A27"/>
    <w:rsid w:val="00E83DA0"/>
    <w:rsid w:val="00E90D9C"/>
    <w:rsid w:val="00E92F36"/>
    <w:rsid w:val="00EA1D75"/>
    <w:rsid w:val="00EA39B4"/>
    <w:rsid w:val="00EA7713"/>
    <w:rsid w:val="00EB616B"/>
    <w:rsid w:val="00ED3428"/>
    <w:rsid w:val="00ED4CDF"/>
    <w:rsid w:val="00EF09B2"/>
    <w:rsid w:val="00EF3E1F"/>
    <w:rsid w:val="00F13D90"/>
    <w:rsid w:val="00F168AF"/>
    <w:rsid w:val="00F302BB"/>
    <w:rsid w:val="00F3196E"/>
    <w:rsid w:val="00F34A6A"/>
    <w:rsid w:val="00F4039A"/>
    <w:rsid w:val="00F53C17"/>
    <w:rsid w:val="00F55D33"/>
    <w:rsid w:val="00F61906"/>
    <w:rsid w:val="00F70880"/>
    <w:rsid w:val="00F71B6C"/>
    <w:rsid w:val="00F8082B"/>
    <w:rsid w:val="00F8632E"/>
    <w:rsid w:val="00F90358"/>
    <w:rsid w:val="00F9381A"/>
    <w:rsid w:val="00FB2F68"/>
    <w:rsid w:val="00FB39B8"/>
    <w:rsid w:val="00FB4BAB"/>
    <w:rsid w:val="00FB60BF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1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5ED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380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9</cp:revision>
  <cp:lastPrinted>2025-01-14T15:40:00Z</cp:lastPrinted>
  <dcterms:created xsi:type="dcterms:W3CDTF">2025-11-27T13:46:00Z</dcterms:created>
  <dcterms:modified xsi:type="dcterms:W3CDTF">2025-11-27T14:09:00Z</dcterms:modified>
</cp:coreProperties>
</file>