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458" w14:textId="64B1D138" w:rsidR="003E3B85" w:rsidRPr="00EC65D4" w:rsidRDefault="003E3B85" w:rsidP="003E3B85">
      <w:pPr>
        <w:spacing w:before="240"/>
        <w:jc w:val="right"/>
        <w:rPr>
          <w:rFonts w:ascii="Arial" w:hAnsi="Arial" w:cs="Arial"/>
          <w:color w:val="2658A5"/>
          <w:sz w:val="48"/>
          <w:szCs w:val="48"/>
          <w:lang w:val="en-GB"/>
        </w:rPr>
      </w:pPr>
      <w:r w:rsidRPr="00EC65D4">
        <w:rPr>
          <w:rFonts w:ascii="Arial" w:hAnsi="Arial" w:cs="Arial"/>
          <w:color w:val="2658A5"/>
          <w:sz w:val="48"/>
          <w:szCs w:val="48"/>
          <w:lang w:val="en-GB"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C755F3" w:rsidRPr="00EC65D4">
        <w:rPr>
          <w:rFonts w:ascii="Arial" w:hAnsi="Arial" w:cs="Arial"/>
          <w:color w:val="2658A5"/>
          <w:sz w:val="48"/>
          <w:szCs w:val="48"/>
          <w:lang w:val="en-GB"/>
        </w:rPr>
        <w:t>PRESS RELEASE</w:t>
      </w:r>
    </w:p>
    <w:p w14:paraId="0022BE11" w14:textId="4FE24414" w:rsidR="003E3B85" w:rsidRPr="00EC65D4" w:rsidRDefault="003E3B85" w:rsidP="003E3B85">
      <w:pPr>
        <w:jc w:val="both"/>
        <w:rPr>
          <w:rFonts w:ascii="Montserrat" w:hAnsi="Montserrat"/>
          <w:sz w:val="20"/>
          <w:szCs w:val="20"/>
          <w:lang w:val="en-GB"/>
        </w:rPr>
      </w:pPr>
    </w:p>
    <w:p w14:paraId="7BDC8DE0" w14:textId="77777777" w:rsidR="003E3B85" w:rsidRPr="00EC65D4" w:rsidRDefault="003E3B85" w:rsidP="003E3B85">
      <w:pPr>
        <w:spacing w:before="240"/>
        <w:rPr>
          <w:rFonts w:ascii="Montserrat" w:hAnsi="Montserrat"/>
          <w:b/>
          <w:bCs/>
          <w:color w:val="2658A5"/>
          <w:sz w:val="32"/>
          <w:szCs w:val="32"/>
          <w:lang w:val="en-GB"/>
        </w:rPr>
      </w:pPr>
    </w:p>
    <w:p w14:paraId="7A909994" w14:textId="77777777" w:rsidR="00055F1E" w:rsidRPr="00055F1E" w:rsidRDefault="00055F1E" w:rsidP="00055F1E">
      <w:pPr>
        <w:rPr>
          <w:rFonts w:ascii="Arial" w:hAnsi="Arial" w:cs="Arial"/>
          <w:b/>
          <w:bCs/>
          <w:color w:val="2658A5"/>
          <w:sz w:val="32"/>
          <w:szCs w:val="32"/>
          <w:lang w:val="en-GB"/>
        </w:rPr>
      </w:pPr>
      <w:r w:rsidRPr="00055F1E">
        <w:rPr>
          <w:rFonts w:ascii="Arial" w:hAnsi="Arial" w:cs="Arial"/>
          <w:b/>
          <w:bCs/>
          <w:color w:val="2658A5"/>
          <w:sz w:val="32"/>
          <w:szCs w:val="32"/>
          <w:lang w:val="en-GB"/>
        </w:rPr>
        <w:t>Last year, CTIA seized 21,856 counterfeit items worth more than CZK 82.5 million</w:t>
      </w:r>
    </w:p>
    <w:p w14:paraId="1860AFA4"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i/>
          <w:iCs/>
          <w:color w:val="000000"/>
          <w:sz w:val="20"/>
          <w:szCs w:val="20"/>
          <w:lang w:val="en-GB"/>
        </w:rPr>
        <w:t>(Final report for 2025)</w:t>
      </w:r>
    </w:p>
    <w:p w14:paraId="503ED735" w14:textId="1C3C3ECA" w:rsidR="00055F1E" w:rsidRPr="00055F1E" w:rsidRDefault="00055F1E" w:rsidP="00055F1E">
      <w:pPr>
        <w:rPr>
          <w:rFonts w:ascii="Arial" w:eastAsia="Calibri" w:hAnsi="Arial" w:cs="Arial"/>
          <w:b/>
          <w:bCs/>
          <w:color w:val="000000"/>
          <w:sz w:val="20"/>
          <w:szCs w:val="20"/>
          <w:lang w:val="en-GB"/>
        </w:rPr>
      </w:pPr>
      <w:r w:rsidRPr="00055F1E">
        <w:rPr>
          <w:rFonts w:ascii="Arial" w:eastAsia="Calibri" w:hAnsi="Arial" w:cs="Arial"/>
          <w:color w:val="000000"/>
          <w:sz w:val="20"/>
          <w:szCs w:val="20"/>
          <w:lang w:val="en-GB"/>
        </w:rPr>
        <w:t xml:space="preserve">(Prague, February 17, 2026) </w:t>
      </w:r>
      <w:r w:rsidR="001D325B">
        <w:rPr>
          <w:rFonts w:ascii="Arial" w:eastAsia="Calibri" w:hAnsi="Arial" w:cs="Arial"/>
          <w:b/>
          <w:bCs/>
          <w:color w:val="000000"/>
          <w:sz w:val="20"/>
          <w:szCs w:val="20"/>
          <w:lang w:val="en-GB"/>
        </w:rPr>
        <w:t>In 2025</w:t>
      </w:r>
      <w:r w:rsidRPr="00055F1E">
        <w:rPr>
          <w:rFonts w:ascii="Arial" w:eastAsia="Calibri" w:hAnsi="Arial" w:cs="Arial"/>
          <w:b/>
          <w:bCs/>
          <w:color w:val="000000"/>
          <w:sz w:val="20"/>
          <w:szCs w:val="20"/>
          <w:lang w:val="en-GB"/>
        </w:rPr>
        <w:t>, the Czech Trade Inspection Authority focused on enforcing the ban on offering, selling, and storing products infringing certain intellectual property rights. It carried out 676 inspections and found breaches of the ban on offering, selling, and storing products infringing certain intellectual property rights in 324 inspections (47.93%).</w:t>
      </w:r>
    </w:p>
    <w:p w14:paraId="15D2E1AD"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t>All regional Inspectorates of the CTIA were involved in the year-long inspection activity focused on compliance with the obligations arising from the provisions of Section 8 of Act No. 634/1992 Coll. on Consumer Protection. According to this provision, it is prohibited to offer for sale, sell, and store products infringing certain intellectual property rights or an unauthorised use of a trademark protected under a special legal regulation. A total of 676 inspections were carried out between January 2 and December 31, 2025. Violations of legal regulations were found in 506 inspections (74.85%), of which 324 (47.93%) recorded violations of the prohibition on offering, selling, and storing products infringing certain intellectual property rights.</w:t>
      </w:r>
    </w:p>
    <w:p w14:paraId="56286005"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t xml:space="preserve">Based on the violations of legal regulations identified within the inspection activity, </w:t>
      </w:r>
      <w:r w:rsidRPr="00055F1E">
        <w:rPr>
          <w:rFonts w:ascii="Arial" w:eastAsia="Calibri" w:hAnsi="Arial" w:cs="Arial"/>
          <w:b/>
          <w:bCs/>
          <w:color w:val="000000"/>
          <w:sz w:val="20"/>
          <w:szCs w:val="20"/>
          <w:lang w:val="en-GB"/>
        </w:rPr>
        <w:t>a total of 410 fines amounting to CZK 7,997,000 were imposed in 2025</w:t>
      </w:r>
      <w:r w:rsidRPr="00055F1E">
        <w:rPr>
          <w:rFonts w:ascii="Arial" w:eastAsia="Calibri" w:hAnsi="Arial" w:cs="Arial"/>
          <w:color w:val="000000"/>
          <w:sz w:val="20"/>
          <w:szCs w:val="20"/>
          <w:lang w:val="en-GB"/>
        </w:rPr>
        <w:t>, of which 253 fines totalling CZK 6,668,000 were related to violations of Section 8 of the Act on Consumer Protection.</w:t>
      </w:r>
    </w:p>
    <w:p w14:paraId="65F8862B"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t>In addition to the sanctions, a total of 21,856 counterfeit items, valued at the price of the originals, amounting to CZK 82,560,670 (the prices of the originals being indicative), were seized and stored out of the reach of the persons inspected. The seized products were stored out of the reach of the inspected persons in accordance with the provisions of Section 7b of Act No. 64/1986 Coll., on the Czech Trade Inspection Authority. Products that do not comply with special legal regulations and for which a final decision on their forfeiture or seizure has been made are subsequently destroyed or used for humanitarian purposes.</w:t>
      </w:r>
    </w:p>
    <w:p w14:paraId="0A3FFE1C"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t>In carrying out inspections to ensure compliance with the prohibition on offering, selling, and storing products infringing certain intellectual property rights, CTIA sought cooperation with other state administration bodies, specifically trade licensing offices (in 9 cases), the Customs Administration of the Czech Republic (in 2 cases), the Police of the Czech Republic (in 1 case) and the Czech Environmental Inspectorate (in 1 case).</w:t>
      </w:r>
    </w:p>
    <w:p w14:paraId="54042D85"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t xml:space="preserve">According to the method of sale, the most frequent violations of Section 8 of the Act on Consumer Protection in the year under review were found in small shops and retail outlets (188 in total), followed by marketplaces (98 violations). During inspections of online stores, infringements of Section 8 of the Act on Consumer Protection were found in 21 cases, followed by 2 inspections at online marketplaces (specifically TEMU and </w:t>
      </w:r>
      <w:proofErr w:type="spellStart"/>
      <w:r w:rsidRPr="00055F1E">
        <w:rPr>
          <w:rFonts w:ascii="Arial" w:eastAsia="Calibri" w:hAnsi="Arial" w:cs="Arial"/>
          <w:color w:val="000000"/>
          <w:sz w:val="20"/>
          <w:szCs w:val="20"/>
          <w:lang w:val="en-GB"/>
        </w:rPr>
        <w:t>Aukro</w:t>
      </w:r>
      <w:proofErr w:type="spellEnd"/>
      <w:r w:rsidRPr="00055F1E">
        <w:rPr>
          <w:rFonts w:ascii="Arial" w:eastAsia="Calibri" w:hAnsi="Arial" w:cs="Arial"/>
          <w:color w:val="000000"/>
          <w:sz w:val="20"/>
          <w:szCs w:val="20"/>
          <w:lang w:val="en-GB"/>
        </w:rPr>
        <w:t>) and 1 infringement of Section 8 was detected during an inspection on social networks.</w:t>
      </w:r>
    </w:p>
    <w:p w14:paraId="3F532DBE"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b/>
          <w:bCs/>
          <w:color w:val="000000"/>
          <w:sz w:val="20"/>
          <w:szCs w:val="20"/>
          <w:lang w:val="en-GB"/>
        </w:rPr>
        <w:t>In terms of product range</w:t>
      </w:r>
      <w:r w:rsidRPr="00055F1E">
        <w:rPr>
          <w:rFonts w:ascii="Arial" w:eastAsia="Calibri" w:hAnsi="Arial" w:cs="Arial"/>
          <w:color w:val="000000"/>
          <w:sz w:val="20"/>
          <w:szCs w:val="20"/>
          <w:lang w:val="en-GB"/>
        </w:rPr>
        <w:t xml:space="preserve">, intellectual property rights were </w:t>
      </w:r>
      <w:r w:rsidRPr="00055F1E">
        <w:rPr>
          <w:rFonts w:ascii="Arial" w:eastAsia="Calibri" w:hAnsi="Arial" w:cs="Arial"/>
          <w:b/>
          <w:bCs/>
          <w:color w:val="000000"/>
          <w:sz w:val="20"/>
          <w:szCs w:val="20"/>
          <w:lang w:val="en-GB"/>
        </w:rPr>
        <w:t>most frequently</w:t>
      </w:r>
      <w:r w:rsidRPr="00055F1E">
        <w:rPr>
          <w:rFonts w:ascii="Arial" w:eastAsia="Calibri" w:hAnsi="Arial" w:cs="Arial"/>
          <w:color w:val="000000"/>
          <w:sz w:val="20"/>
          <w:szCs w:val="20"/>
          <w:lang w:val="en-GB"/>
        </w:rPr>
        <w:t xml:space="preserve"> infringed </w:t>
      </w:r>
      <w:r w:rsidRPr="00055F1E">
        <w:rPr>
          <w:rFonts w:ascii="Arial" w:eastAsia="Calibri" w:hAnsi="Arial" w:cs="Arial"/>
          <w:b/>
          <w:bCs/>
          <w:color w:val="000000"/>
          <w:sz w:val="20"/>
          <w:szCs w:val="20"/>
          <w:lang w:val="en-GB"/>
        </w:rPr>
        <w:t>in textile products</w:t>
      </w:r>
      <w:r w:rsidRPr="00055F1E">
        <w:rPr>
          <w:rFonts w:ascii="Arial" w:eastAsia="Calibri" w:hAnsi="Arial" w:cs="Arial"/>
          <w:color w:val="000000"/>
          <w:sz w:val="20"/>
          <w:szCs w:val="20"/>
          <w:lang w:val="en-GB"/>
        </w:rPr>
        <w:t xml:space="preserve"> and products primarily intended for children (</w:t>
      </w:r>
      <w:r w:rsidRPr="00055F1E">
        <w:rPr>
          <w:rFonts w:ascii="Arial" w:eastAsia="Calibri" w:hAnsi="Arial" w:cs="Arial"/>
          <w:b/>
          <w:bCs/>
          <w:color w:val="000000"/>
          <w:sz w:val="20"/>
          <w:szCs w:val="20"/>
          <w:lang w:val="en-GB"/>
        </w:rPr>
        <w:t>toys and games</w:t>
      </w:r>
      <w:r w:rsidRPr="00055F1E">
        <w:rPr>
          <w:rFonts w:ascii="Arial" w:eastAsia="Calibri" w:hAnsi="Arial" w:cs="Arial"/>
          <w:color w:val="000000"/>
          <w:sz w:val="20"/>
          <w:szCs w:val="20"/>
          <w:lang w:val="en-GB"/>
        </w:rPr>
        <w:t xml:space="preserve">). Of the total number of products seized, the brands Nike, Guess, Louis Vuitton, Michael Kors, Tommy Hilfiger, and Chanel predominated in terms of volume in the textile sector, while Lego and </w:t>
      </w:r>
      <w:proofErr w:type="spellStart"/>
      <w:r w:rsidRPr="00055F1E">
        <w:rPr>
          <w:rFonts w:ascii="Arial" w:eastAsia="Calibri" w:hAnsi="Arial" w:cs="Arial"/>
          <w:color w:val="000000"/>
          <w:sz w:val="20"/>
          <w:szCs w:val="20"/>
          <w:lang w:val="en-GB"/>
        </w:rPr>
        <w:t>PokémonWizards</w:t>
      </w:r>
      <w:proofErr w:type="spellEnd"/>
      <w:r w:rsidRPr="00055F1E">
        <w:rPr>
          <w:rFonts w:ascii="Arial" w:eastAsia="Calibri" w:hAnsi="Arial" w:cs="Arial"/>
          <w:color w:val="000000"/>
          <w:sz w:val="20"/>
          <w:szCs w:val="20"/>
          <w:lang w:val="en-GB"/>
        </w:rPr>
        <w:t xml:space="preserve"> were the most common brands in the toy and game range.</w:t>
      </w:r>
    </w:p>
    <w:p w14:paraId="750EB779"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color w:val="000000"/>
          <w:sz w:val="20"/>
          <w:szCs w:val="20"/>
          <w:lang w:val="en-GB"/>
        </w:rPr>
        <w:lastRenderedPageBreak/>
        <w:t>The share of individual product groups in the total volume of products seized on suspicion of infringement of intellectual property rights is shown in the following chart:</w:t>
      </w:r>
    </w:p>
    <w:p w14:paraId="50A19AE9" w14:textId="77777777" w:rsidR="00055F1E" w:rsidRPr="00055F1E" w:rsidRDefault="00055F1E" w:rsidP="00055F1E">
      <w:pPr>
        <w:rPr>
          <w:rFonts w:ascii="Arial" w:eastAsia="Calibri" w:hAnsi="Arial" w:cs="Arial"/>
          <w:color w:val="000000"/>
          <w:sz w:val="20"/>
          <w:szCs w:val="20"/>
          <w:lang w:val="en-GB"/>
        </w:rPr>
      </w:pPr>
      <w:r w:rsidRPr="00055F1E">
        <w:rPr>
          <w:rFonts w:ascii="Arial" w:eastAsia="Calibri" w:hAnsi="Arial" w:cs="Arial"/>
          <w:b/>
          <w:bCs/>
          <w:color w:val="000000"/>
          <w:sz w:val="20"/>
          <w:szCs w:val="20"/>
          <w:u w:val="single"/>
          <w:lang w:val="en-GB"/>
        </w:rPr>
        <w:t>Chart 1: Share of product groups in the total volume of seized products</w:t>
      </w:r>
    </w:p>
    <w:p w14:paraId="34BD2A26" w14:textId="47155AE0" w:rsidR="00534491" w:rsidRPr="00EC65D4" w:rsidRDefault="00743663" w:rsidP="00743663">
      <w:pPr>
        <w:rPr>
          <w:rFonts w:ascii="Arial" w:hAnsi="Arial" w:cs="Arial"/>
          <w:b/>
          <w:bCs/>
          <w:sz w:val="20"/>
          <w:szCs w:val="20"/>
          <w:u w:val="single"/>
          <w:lang w:val="en-GB"/>
        </w:rPr>
      </w:pPr>
      <w:r w:rsidRPr="00EC65D4">
        <w:rPr>
          <w:lang w:val="en-GB"/>
        </w:rPr>
        <w:drawing>
          <wp:inline distT="0" distB="0" distL="0" distR="0" wp14:anchorId="735AACB9" wp14:editId="07DE381A">
            <wp:extent cx="5760720" cy="2888958"/>
            <wp:effectExtent l="0" t="0" r="11430" b="6985"/>
            <wp:docPr id="1545473268" name="Graf 1">
              <a:extLst xmlns:a="http://schemas.openxmlformats.org/drawingml/2006/main">
                <a:ext uri="{FF2B5EF4-FFF2-40B4-BE49-F238E27FC236}">
                  <a16:creationId xmlns:a16="http://schemas.microsoft.com/office/drawing/2014/main" id="{C64A40E5-9548-8D8E-765B-C4AB061D7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C65D4">
        <w:rPr>
          <w:rFonts w:ascii="Arial" w:hAnsi="Arial" w:cs="Arial"/>
          <w:b/>
          <w:bCs/>
          <w:sz w:val="20"/>
          <w:szCs w:val="20"/>
          <w:u w:val="single"/>
          <w:lang w:val="en-GB"/>
        </w:rPr>
        <w:br/>
      </w:r>
    </w:p>
    <w:p w14:paraId="29AC1548" w14:textId="77777777" w:rsidR="004C3C65" w:rsidRPr="004C3C65" w:rsidRDefault="004C3C65" w:rsidP="004C3C65">
      <w:pPr>
        <w:rPr>
          <w:rFonts w:ascii="Arial" w:hAnsi="Arial" w:cs="Arial"/>
          <w:sz w:val="20"/>
          <w:szCs w:val="20"/>
          <w:lang w:val="en-GB"/>
        </w:rPr>
      </w:pPr>
      <w:r w:rsidRPr="004C3C65">
        <w:rPr>
          <w:rFonts w:ascii="Arial" w:hAnsi="Arial" w:cs="Arial"/>
          <w:sz w:val="20"/>
          <w:szCs w:val="20"/>
          <w:lang w:val="en-GB"/>
        </w:rPr>
        <w:t>The share of selected trademarks in the total volume of seized products is shown in the following graph. Trademarks not included in the list occurred in fewer than 500 seized products.</w:t>
      </w:r>
    </w:p>
    <w:p w14:paraId="585CF2BD" w14:textId="77777777" w:rsidR="004C3C65" w:rsidRPr="00EC65D4" w:rsidRDefault="004C3C65" w:rsidP="004C3C65">
      <w:pPr>
        <w:rPr>
          <w:rFonts w:ascii="Arial" w:hAnsi="Arial" w:cs="Arial"/>
          <w:b/>
          <w:bCs/>
          <w:sz w:val="20"/>
          <w:szCs w:val="20"/>
          <w:u w:val="single"/>
          <w:lang w:val="en-GB"/>
        </w:rPr>
      </w:pPr>
    </w:p>
    <w:p w14:paraId="63A9FB88" w14:textId="7AE90475" w:rsidR="004C3C65" w:rsidRPr="004C3C65" w:rsidRDefault="004C3C65" w:rsidP="004C3C65">
      <w:pPr>
        <w:rPr>
          <w:rFonts w:ascii="Arial" w:hAnsi="Arial" w:cs="Arial"/>
          <w:sz w:val="20"/>
          <w:szCs w:val="20"/>
          <w:lang w:val="en-GB"/>
        </w:rPr>
      </w:pPr>
      <w:r w:rsidRPr="004C3C65">
        <w:rPr>
          <w:rFonts w:ascii="Arial" w:hAnsi="Arial" w:cs="Arial"/>
          <w:b/>
          <w:bCs/>
          <w:sz w:val="20"/>
          <w:szCs w:val="20"/>
          <w:u w:val="single"/>
          <w:lang w:val="en-GB"/>
        </w:rPr>
        <w:t>Graph 2: Seized products by brand (over 500 items)</w:t>
      </w:r>
    </w:p>
    <w:p w14:paraId="0F2E611A" w14:textId="5A057262" w:rsidR="000160A2" w:rsidRPr="00EC65D4" w:rsidRDefault="00743663" w:rsidP="000160A2">
      <w:pPr>
        <w:rPr>
          <w:rFonts w:cs="Arial"/>
          <w:sz w:val="20"/>
          <w:szCs w:val="20"/>
          <w:lang w:val="en-GB"/>
        </w:rPr>
      </w:pPr>
      <w:r w:rsidRPr="00EC65D4">
        <w:rPr>
          <w:lang w:val="en-GB"/>
        </w:rPr>
        <w:drawing>
          <wp:inline distT="0" distB="0" distL="0" distR="0" wp14:anchorId="1E01FEC2" wp14:editId="03CBDE8C">
            <wp:extent cx="5760720" cy="3263536"/>
            <wp:effectExtent l="0" t="0" r="11430" b="13335"/>
            <wp:docPr id="1535399356" name="Graf 1">
              <a:extLst xmlns:a="http://schemas.openxmlformats.org/drawingml/2006/main">
                <a:ext uri="{FF2B5EF4-FFF2-40B4-BE49-F238E27FC236}">
                  <a16:creationId xmlns:a16="http://schemas.microsoft.com/office/drawing/2014/main" id="{045A70EA-3371-D1EC-FE06-141F5A3BB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E7D3EA" w14:textId="77777777" w:rsidR="00656822" w:rsidRPr="00EC65D4" w:rsidRDefault="00656822" w:rsidP="005923C5">
      <w:pPr>
        <w:spacing w:line="240" w:lineRule="auto"/>
        <w:rPr>
          <w:rFonts w:ascii="Arial" w:hAnsi="Arial" w:cs="Arial"/>
          <w:sz w:val="20"/>
          <w:szCs w:val="20"/>
          <w:u w:val="single"/>
          <w:lang w:val="en-GB"/>
        </w:rPr>
      </w:pPr>
    </w:p>
    <w:sectPr w:rsidR="00656822" w:rsidRPr="00EC65D4" w:rsidSect="00663C7B">
      <w:headerReference w:type="default" r:id="rId11"/>
      <w:footerReference w:type="default" r:id="rId12"/>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B557" w14:textId="77777777" w:rsidR="00BC6E77" w:rsidRDefault="00BC6E77" w:rsidP="00807D68">
      <w:pPr>
        <w:spacing w:after="0" w:line="240" w:lineRule="auto"/>
      </w:pPr>
      <w:r>
        <w:separator/>
      </w:r>
    </w:p>
  </w:endnote>
  <w:endnote w:type="continuationSeparator" w:id="0">
    <w:p w14:paraId="0EBB1893" w14:textId="77777777" w:rsidR="00BC6E77" w:rsidRDefault="00BC6E77"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A4C3" w14:textId="77777777" w:rsidR="00EC65D4" w:rsidRPr="000B3C18" w:rsidRDefault="00EC65D4" w:rsidP="00EC65D4">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DAAB4FD" wp14:editId="28EE3A2F">
              <wp:simplePos x="0" y="0"/>
              <wp:positionH relativeFrom="column">
                <wp:posOffset>3472180</wp:posOffset>
              </wp:positionH>
              <wp:positionV relativeFrom="paragraph">
                <wp:posOffset>10160</wp:posOffset>
              </wp:positionV>
              <wp:extent cx="2361564" cy="653414"/>
              <wp:effectExtent l="0" t="0" r="1270" b="127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7D05D055" w14:textId="77777777" w:rsidR="00EC65D4" w:rsidRPr="00EC65D4" w:rsidRDefault="00EC65D4" w:rsidP="00EC65D4">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DAAB4FD"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7D05D055" w14:textId="77777777" w:rsidR="00EC65D4" w:rsidRPr="00EC65D4" w:rsidRDefault="00EC65D4" w:rsidP="00EC65D4">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563AE29B" wp14:editId="2C1443BA">
              <wp:simplePos x="0" y="0"/>
              <wp:positionH relativeFrom="column">
                <wp:posOffset>-109220</wp:posOffset>
              </wp:positionH>
              <wp:positionV relativeFrom="paragraph">
                <wp:posOffset>7620</wp:posOffset>
              </wp:positionV>
              <wp:extent cx="2085975" cy="1404620"/>
              <wp:effectExtent l="0" t="0" r="9525"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631647E9" w14:textId="77777777" w:rsidR="00EC65D4" w:rsidRPr="00DC6D14" w:rsidRDefault="00EC65D4" w:rsidP="00EC65D4">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63AE29B"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631647E9" w14:textId="77777777" w:rsidR="00EC65D4" w:rsidRPr="00DC6D14" w:rsidRDefault="00EC65D4" w:rsidP="00EC65D4">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v:textbox>
            </v:shape>
          </w:pict>
        </mc:Fallback>
      </mc:AlternateContent>
    </w:r>
  </w:p>
  <w:p w14:paraId="2E86EAD4" w14:textId="77777777" w:rsidR="00F34A6A" w:rsidRPr="00EC65D4" w:rsidRDefault="00F34A6A" w:rsidP="00EC65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C213" w14:textId="77777777" w:rsidR="00BC6E77" w:rsidRDefault="00BC6E77" w:rsidP="00807D68">
      <w:pPr>
        <w:spacing w:after="0" w:line="240" w:lineRule="auto"/>
      </w:pPr>
      <w:r>
        <w:separator/>
      </w:r>
    </w:p>
  </w:footnote>
  <w:footnote w:type="continuationSeparator" w:id="0">
    <w:p w14:paraId="10837D88" w14:textId="77777777" w:rsidR="00BC6E77" w:rsidRDefault="00BC6E77"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4"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5"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6"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8"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3089669">
    <w:abstractNumId w:val="0"/>
  </w:num>
  <w:num w:numId="2" w16cid:durableId="869418837">
    <w:abstractNumId w:val="8"/>
  </w:num>
  <w:num w:numId="3" w16cid:durableId="2068453111">
    <w:abstractNumId w:val="3"/>
  </w:num>
  <w:num w:numId="4" w16cid:durableId="1930965393">
    <w:abstractNumId w:val="10"/>
  </w:num>
  <w:num w:numId="5" w16cid:durableId="233050446">
    <w:abstractNumId w:val="11"/>
  </w:num>
  <w:num w:numId="6" w16cid:durableId="770780540">
    <w:abstractNumId w:val="5"/>
  </w:num>
  <w:num w:numId="7" w16cid:durableId="800730174">
    <w:abstractNumId w:val="4"/>
  </w:num>
  <w:num w:numId="8" w16cid:durableId="242567924">
    <w:abstractNumId w:val="1"/>
  </w:num>
  <w:num w:numId="9" w16cid:durableId="190656538">
    <w:abstractNumId w:val="6"/>
  </w:num>
  <w:num w:numId="10" w16cid:durableId="144471249">
    <w:abstractNumId w:val="2"/>
  </w:num>
  <w:num w:numId="11" w16cid:durableId="480660265">
    <w:abstractNumId w:val="7"/>
  </w:num>
  <w:num w:numId="12" w16cid:durableId="187276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160A2"/>
    <w:rsid w:val="00055F1E"/>
    <w:rsid w:val="00056E6A"/>
    <w:rsid w:val="000741E3"/>
    <w:rsid w:val="00083B4B"/>
    <w:rsid w:val="000B3C18"/>
    <w:rsid w:val="000B3ECB"/>
    <w:rsid w:val="000C419D"/>
    <w:rsid w:val="000E2C64"/>
    <w:rsid w:val="0010721B"/>
    <w:rsid w:val="001103F7"/>
    <w:rsid w:val="0012213F"/>
    <w:rsid w:val="00122D8D"/>
    <w:rsid w:val="00141B60"/>
    <w:rsid w:val="00142850"/>
    <w:rsid w:val="00143E7B"/>
    <w:rsid w:val="001472E1"/>
    <w:rsid w:val="00152827"/>
    <w:rsid w:val="00167F18"/>
    <w:rsid w:val="00192BDE"/>
    <w:rsid w:val="001C38DE"/>
    <w:rsid w:val="001D0E07"/>
    <w:rsid w:val="001D158E"/>
    <w:rsid w:val="001D1E6C"/>
    <w:rsid w:val="001D325B"/>
    <w:rsid w:val="001D5235"/>
    <w:rsid w:val="002012CC"/>
    <w:rsid w:val="00225F02"/>
    <w:rsid w:val="00254ECF"/>
    <w:rsid w:val="002726E7"/>
    <w:rsid w:val="002B7C92"/>
    <w:rsid w:val="002C2749"/>
    <w:rsid w:val="00350179"/>
    <w:rsid w:val="00363379"/>
    <w:rsid w:val="00365495"/>
    <w:rsid w:val="0037728A"/>
    <w:rsid w:val="003E3B85"/>
    <w:rsid w:val="003F2528"/>
    <w:rsid w:val="003F5ABC"/>
    <w:rsid w:val="00432A70"/>
    <w:rsid w:val="0043419B"/>
    <w:rsid w:val="004467EE"/>
    <w:rsid w:val="0046373B"/>
    <w:rsid w:val="00493D8C"/>
    <w:rsid w:val="00494ACB"/>
    <w:rsid w:val="0049637D"/>
    <w:rsid w:val="004C3C65"/>
    <w:rsid w:val="004C56C1"/>
    <w:rsid w:val="004C672D"/>
    <w:rsid w:val="004F3AA9"/>
    <w:rsid w:val="00512BEF"/>
    <w:rsid w:val="00526090"/>
    <w:rsid w:val="00534491"/>
    <w:rsid w:val="005545CE"/>
    <w:rsid w:val="00557815"/>
    <w:rsid w:val="005702A5"/>
    <w:rsid w:val="00571F26"/>
    <w:rsid w:val="00572CFD"/>
    <w:rsid w:val="00577B57"/>
    <w:rsid w:val="005837B9"/>
    <w:rsid w:val="005923C5"/>
    <w:rsid w:val="00592C1D"/>
    <w:rsid w:val="00592FBA"/>
    <w:rsid w:val="005A0FA4"/>
    <w:rsid w:val="005A3A49"/>
    <w:rsid w:val="005A4C0C"/>
    <w:rsid w:val="005B2A55"/>
    <w:rsid w:val="005C435F"/>
    <w:rsid w:val="005D105B"/>
    <w:rsid w:val="005E3D23"/>
    <w:rsid w:val="005F776A"/>
    <w:rsid w:val="0060731F"/>
    <w:rsid w:val="0061127C"/>
    <w:rsid w:val="00653A86"/>
    <w:rsid w:val="00656822"/>
    <w:rsid w:val="00663C7B"/>
    <w:rsid w:val="00681DA5"/>
    <w:rsid w:val="00685FF2"/>
    <w:rsid w:val="00693035"/>
    <w:rsid w:val="006B38A2"/>
    <w:rsid w:val="006D428D"/>
    <w:rsid w:val="006E3BFD"/>
    <w:rsid w:val="006E45AE"/>
    <w:rsid w:val="006F6413"/>
    <w:rsid w:val="0070124B"/>
    <w:rsid w:val="00705B6E"/>
    <w:rsid w:val="0073117A"/>
    <w:rsid w:val="00735C36"/>
    <w:rsid w:val="00743663"/>
    <w:rsid w:val="00752488"/>
    <w:rsid w:val="00771930"/>
    <w:rsid w:val="007A393D"/>
    <w:rsid w:val="007C3195"/>
    <w:rsid w:val="007C40CF"/>
    <w:rsid w:val="007E237F"/>
    <w:rsid w:val="007F1FC3"/>
    <w:rsid w:val="007F4FA3"/>
    <w:rsid w:val="008078D2"/>
    <w:rsid w:val="00807D68"/>
    <w:rsid w:val="0084472A"/>
    <w:rsid w:val="008614DF"/>
    <w:rsid w:val="008632A4"/>
    <w:rsid w:val="008647A3"/>
    <w:rsid w:val="00885497"/>
    <w:rsid w:val="00890135"/>
    <w:rsid w:val="0089254F"/>
    <w:rsid w:val="008F22C0"/>
    <w:rsid w:val="0090767D"/>
    <w:rsid w:val="00917CF5"/>
    <w:rsid w:val="0092339C"/>
    <w:rsid w:val="00926549"/>
    <w:rsid w:val="009266E9"/>
    <w:rsid w:val="00955DA0"/>
    <w:rsid w:val="00970F06"/>
    <w:rsid w:val="00971704"/>
    <w:rsid w:val="009E32D6"/>
    <w:rsid w:val="009F2D9C"/>
    <w:rsid w:val="00A04DA8"/>
    <w:rsid w:val="00A161BD"/>
    <w:rsid w:val="00A21CED"/>
    <w:rsid w:val="00A421F2"/>
    <w:rsid w:val="00A57931"/>
    <w:rsid w:val="00A66848"/>
    <w:rsid w:val="00A73E51"/>
    <w:rsid w:val="00A745C4"/>
    <w:rsid w:val="00A81783"/>
    <w:rsid w:val="00A95A44"/>
    <w:rsid w:val="00A962C0"/>
    <w:rsid w:val="00AD2EE9"/>
    <w:rsid w:val="00B205BA"/>
    <w:rsid w:val="00B20F24"/>
    <w:rsid w:val="00B23900"/>
    <w:rsid w:val="00B40171"/>
    <w:rsid w:val="00B44F4B"/>
    <w:rsid w:val="00B53C06"/>
    <w:rsid w:val="00B620E4"/>
    <w:rsid w:val="00B8270D"/>
    <w:rsid w:val="00B965F4"/>
    <w:rsid w:val="00B97A9C"/>
    <w:rsid w:val="00BC6E77"/>
    <w:rsid w:val="00BD02A1"/>
    <w:rsid w:val="00BE1D16"/>
    <w:rsid w:val="00BE29F2"/>
    <w:rsid w:val="00BF5CA1"/>
    <w:rsid w:val="00C241B4"/>
    <w:rsid w:val="00C41758"/>
    <w:rsid w:val="00C43D14"/>
    <w:rsid w:val="00C4704F"/>
    <w:rsid w:val="00C62D13"/>
    <w:rsid w:val="00C755F3"/>
    <w:rsid w:val="00C8558B"/>
    <w:rsid w:val="00C937E8"/>
    <w:rsid w:val="00C97D46"/>
    <w:rsid w:val="00CD11D7"/>
    <w:rsid w:val="00CE1432"/>
    <w:rsid w:val="00CE40CA"/>
    <w:rsid w:val="00CF2A8F"/>
    <w:rsid w:val="00CF6F01"/>
    <w:rsid w:val="00D00046"/>
    <w:rsid w:val="00D100A7"/>
    <w:rsid w:val="00D10971"/>
    <w:rsid w:val="00D154C6"/>
    <w:rsid w:val="00D2107A"/>
    <w:rsid w:val="00D230ED"/>
    <w:rsid w:val="00D329DD"/>
    <w:rsid w:val="00D33380"/>
    <w:rsid w:val="00D37705"/>
    <w:rsid w:val="00D43992"/>
    <w:rsid w:val="00D66CD2"/>
    <w:rsid w:val="00D763A0"/>
    <w:rsid w:val="00D8316C"/>
    <w:rsid w:val="00D966A5"/>
    <w:rsid w:val="00DC5B7E"/>
    <w:rsid w:val="00E01D17"/>
    <w:rsid w:val="00E17BF0"/>
    <w:rsid w:val="00E27FB5"/>
    <w:rsid w:val="00E53779"/>
    <w:rsid w:val="00E561BC"/>
    <w:rsid w:val="00E677E5"/>
    <w:rsid w:val="00E8710D"/>
    <w:rsid w:val="00E90D9C"/>
    <w:rsid w:val="00E94584"/>
    <w:rsid w:val="00EA1D75"/>
    <w:rsid w:val="00EA39B4"/>
    <w:rsid w:val="00EB7BC3"/>
    <w:rsid w:val="00EB7FC9"/>
    <w:rsid w:val="00EC2399"/>
    <w:rsid w:val="00EC65D4"/>
    <w:rsid w:val="00ED4CDF"/>
    <w:rsid w:val="00EF3E1F"/>
    <w:rsid w:val="00F11BF6"/>
    <w:rsid w:val="00F168AF"/>
    <w:rsid w:val="00F34A6A"/>
    <w:rsid w:val="00F4039A"/>
    <w:rsid w:val="00F43B44"/>
    <w:rsid w:val="00F53C17"/>
    <w:rsid w:val="00F55D33"/>
    <w:rsid w:val="00F70880"/>
    <w:rsid w:val="00F83773"/>
    <w:rsid w:val="00F9361B"/>
    <w:rsid w:val="00F96ED1"/>
    <w:rsid w:val="00FB39B8"/>
    <w:rsid w:val="00FD0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customStyle="1" w:styleId="pf0">
    <w:name w:val="pf0"/>
    <w:basedOn w:val="Normln"/>
    <w:rsid w:val="004C67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C672D"/>
    <w:rPr>
      <w:rFonts w:ascii="Segoe UI" w:hAnsi="Segoe UI" w:cs="Segoe UI" w:hint="default"/>
      <w:sz w:val="18"/>
      <w:szCs w:val="18"/>
    </w:rPr>
  </w:style>
  <w:style w:type="paragraph" w:styleId="Revize">
    <w:name w:val="Revision"/>
    <w:hidden/>
    <w:uiPriority w:val="99"/>
    <w:semiHidden/>
    <w:rsid w:val="00F93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142773461">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662537829">
      <w:bodyDiv w:val="1"/>
      <w:marLeft w:val="0"/>
      <w:marRight w:val="0"/>
      <w:marTop w:val="0"/>
      <w:marBottom w:val="0"/>
      <w:divBdr>
        <w:top w:val="none" w:sz="0" w:space="0" w:color="auto"/>
        <w:left w:val="none" w:sz="0" w:space="0" w:color="auto"/>
        <w:bottom w:val="none" w:sz="0" w:space="0" w:color="auto"/>
        <w:right w:val="none" w:sz="0" w:space="0" w:color="auto"/>
      </w:divBdr>
    </w:div>
    <w:div w:id="2050640144">
      <w:bodyDiv w:val="1"/>
      <w:marLeft w:val="0"/>
      <w:marRight w:val="0"/>
      <w:marTop w:val="0"/>
      <w:marBottom w:val="0"/>
      <w:divBdr>
        <w:top w:val="none" w:sz="0" w:space="0" w:color="auto"/>
        <w:left w:val="none" w:sz="0" w:space="0" w:color="auto"/>
        <w:bottom w:val="none" w:sz="0" w:space="0" w:color="auto"/>
        <w:right w:val="none" w:sz="0" w:space="0" w:color="auto"/>
      </w:divBdr>
    </w:div>
    <w:div w:id="211478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rthova\Documents\Falza%20-%20Kirthov&#225;\2025\4.%20KVART&#193;L%202025%20ZZ\SQL%2019.1\FAL%20ZNA&#268;01-souhrnDleZna&#269;%20OdDoProRI%20-%2019.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0536686645513"/>
          <c:y val="6.3492063492063489E-2"/>
          <c:w val="0.89499463313354488"/>
          <c:h val="0.8691269841269840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List1!$E$2:$E$6</c:f>
              <c:strCache>
                <c:ptCount val="5"/>
                <c:pt idx="0">
                  <c:v>Textil</c:v>
                </c:pt>
                <c:pt idx="1">
                  <c:v>Hračky</c:v>
                </c:pt>
                <c:pt idx="2">
                  <c:v>Obuv</c:v>
                </c:pt>
                <c:pt idx="3">
                  <c:v>Hodinky</c:v>
                </c:pt>
                <c:pt idx="4">
                  <c:v>Další</c:v>
                </c:pt>
              </c:strCache>
            </c:strRef>
          </c:cat>
          <c:val>
            <c:numRef>
              <c:f>List1!$F$2:$F$6</c:f>
              <c:numCache>
                <c:formatCode>#,##0</c:formatCode>
                <c:ptCount val="5"/>
                <c:pt idx="0">
                  <c:v>10203</c:v>
                </c:pt>
                <c:pt idx="1">
                  <c:v>4737</c:v>
                </c:pt>
                <c:pt idx="2">
                  <c:v>3248</c:v>
                </c:pt>
                <c:pt idx="3">
                  <c:v>1504</c:v>
                </c:pt>
                <c:pt idx="4">
                  <c:v>2164</c:v>
                </c:pt>
              </c:numCache>
            </c:numRef>
          </c:val>
          <c:extLst>
            <c:ext xmlns:c16="http://schemas.microsoft.com/office/drawing/2014/chart" uri="{C3380CC4-5D6E-409C-BE32-E72D297353CC}">
              <c16:uniqueId val="{00000000-53CB-47AF-B36C-6F4AF00F6890}"/>
            </c:ext>
          </c:extLst>
        </c:ser>
        <c:dLbls>
          <c:dLblPos val="outEnd"/>
          <c:showLegendKey val="0"/>
          <c:showVal val="1"/>
          <c:showCatName val="0"/>
          <c:showSerName val="0"/>
          <c:showPercent val="0"/>
          <c:showBubbleSize val="0"/>
        </c:dLbls>
        <c:gapWidth val="219"/>
        <c:overlap val="-27"/>
        <c:axId val="748237400"/>
        <c:axId val="748237760"/>
      </c:barChart>
      <c:catAx>
        <c:axId val="748237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8237760"/>
        <c:crosses val="autoZero"/>
        <c:auto val="1"/>
        <c:lblAlgn val="ctr"/>
        <c:lblOffset val="100"/>
        <c:noMultiLvlLbl val="0"/>
      </c:catAx>
      <c:valAx>
        <c:axId val="74823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8237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(Data!$A$2:$A$8,Data!$A$10:$A$15)</c:f>
              <c:strCache>
                <c:ptCount val="13"/>
                <c:pt idx="0">
                  <c:v>Nike</c:v>
                </c:pt>
                <c:pt idx="1">
                  <c:v>Guess</c:v>
                </c:pt>
                <c:pt idx="2">
                  <c:v>Louis Vuitton</c:v>
                </c:pt>
                <c:pt idx="3">
                  <c:v>Lego</c:v>
                </c:pt>
                <c:pt idx="4">
                  <c:v>Michael Kors</c:v>
                </c:pt>
                <c:pt idx="5">
                  <c:v>PokémonWizards</c:v>
                </c:pt>
                <c:pt idx="6">
                  <c:v>Rubikova kostka</c:v>
                </c:pt>
                <c:pt idx="7">
                  <c:v>Tommy Hilfiger</c:v>
                </c:pt>
                <c:pt idx="8">
                  <c:v>Chanel</c:v>
                </c:pt>
                <c:pt idx="9">
                  <c:v>stone island</c:v>
                </c:pt>
                <c:pt idx="10">
                  <c:v>moncler</c:v>
                </c:pt>
                <c:pt idx="11">
                  <c:v>Polo</c:v>
                </c:pt>
                <c:pt idx="12">
                  <c:v>The North Face</c:v>
                </c:pt>
              </c:strCache>
              <c:extLst/>
            </c:strRef>
          </c:cat>
          <c:val>
            <c:numRef>
              <c:f>(Data!$B$2:$B$8,Data!$B$10:$B$15)</c:f>
              <c:numCache>
                <c:formatCode>General</c:formatCode>
                <c:ptCount val="13"/>
                <c:pt idx="0">
                  <c:v>1803</c:v>
                </c:pt>
                <c:pt idx="1">
                  <c:v>1524</c:v>
                </c:pt>
                <c:pt idx="2">
                  <c:v>1190</c:v>
                </c:pt>
                <c:pt idx="3">
                  <c:v>1054</c:v>
                </c:pt>
                <c:pt idx="4">
                  <c:v>1025</c:v>
                </c:pt>
                <c:pt idx="5">
                  <c:v>865</c:v>
                </c:pt>
                <c:pt idx="6">
                  <c:v>720</c:v>
                </c:pt>
                <c:pt idx="7">
                  <c:v>658</c:v>
                </c:pt>
                <c:pt idx="8">
                  <c:v>623</c:v>
                </c:pt>
                <c:pt idx="9">
                  <c:v>587</c:v>
                </c:pt>
                <c:pt idx="10">
                  <c:v>578</c:v>
                </c:pt>
                <c:pt idx="11">
                  <c:v>539</c:v>
                </c:pt>
                <c:pt idx="12">
                  <c:v>523</c:v>
                </c:pt>
              </c:numCache>
              <c:extLst/>
            </c:numRef>
          </c:val>
          <c:extLst>
            <c:ext xmlns:c16="http://schemas.microsoft.com/office/drawing/2014/chart" uri="{C3380CC4-5D6E-409C-BE32-E72D297353CC}">
              <c16:uniqueId val="{00000000-E246-4C8A-B3E7-6EE84F459315}"/>
            </c:ext>
          </c:extLst>
        </c:ser>
        <c:dLbls>
          <c:dLblPos val="outEnd"/>
          <c:showLegendKey val="0"/>
          <c:showVal val="1"/>
          <c:showCatName val="0"/>
          <c:showSerName val="0"/>
          <c:showPercent val="0"/>
          <c:showBubbleSize val="0"/>
        </c:dLbls>
        <c:gapWidth val="219"/>
        <c:overlap val="-27"/>
        <c:axId val="764894216"/>
        <c:axId val="763007144"/>
      </c:barChart>
      <c:catAx>
        <c:axId val="76489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63007144"/>
        <c:crosses val="autoZero"/>
        <c:auto val="1"/>
        <c:lblAlgn val="ctr"/>
        <c:lblOffset val="100"/>
        <c:noMultiLvlLbl val="0"/>
      </c:catAx>
      <c:valAx>
        <c:axId val="76300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64894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585</Words>
  <Characters>3456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30</cp:revision>
  <cp:lastPrinted>2025-01-14T15:40:00Z</cp:lastPrinted>
  <dcterms:created xsi:type="dcterms:W3CDTF">2025-03-04T15:50:00Z</dcterms:created>
  <dcterms:modified xsi:type="dcterms:W3CDTF">2026-02-19T18:52:00Z</dcterms:modified>
</cp:coreProperties>
</file>