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C458" w14:textId="4A99336E" w:rsidR="003E3B85" w:rsidRPr="00DE5A0B" w:rsidRDefault="003E3B85" w:rsidP="003E3B85">
      <w:pPr>
        <w:spacing w:before="240"/>
        <w:jc w:val="right"/>
        <w:rPr>
          <w:rFonts w:ascii="Arial" w:hAnsi="Arial" w:cs="Arial"/>
          <w:color w:val="2658A5"/>
          <w:sz w:val="48"/>
          <w:szCs w:val="48"/>
          <w:lang w:val="en-GB"/>
        </w:rPr>
      </w:pPr>
      <w:r w:rsidRPr="00DE5A0B">
        <w:rPr>
          <w:rFonts w:ascii="Arial" w:hAnsi="Arial" w:cs="Arial"/>
          <w:noProof/>
          <w:color w:val="2658A5"/>
          <w:sz w:val="48"/>
          <w:szCs w:val="48"/>
          <w:lang w:val="en-GB" w:eastAsia="cs-CZ"/>
        </w:rPr>
        <w:drawing>
          <wp:anchor distT="0" distB="0" distL="114300" distR="114300" simplePos="0" relativeHeight="251659264" behindDoc="1" locked="0" layoutInCell="1" allowOverlap="1" wp14:anchorId="17E71488" wp14:editId="74A80BE3">
            <wp:simplePos x="0" y="0"/>
            <wp:positionH relativeFrom="margin">
              <wp:posOffset>-39757</wp:posOffset>
            </wp:positionH>
            <wp:positionV relativeFrom="margin">
              <wp:posOffset>93593</wp:posOffset>
            </wp:positionV>
            <wp:extent cx="2120265" cy="46545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2120265" cy="465455"/>
                    </a:xfrm>
                    <a:prstGeom prst="rect">
                      <a:avLst/>
                    </a:prstGeom>
                  </pic:spPr>
                </pic:pic>
              </a:graphicData>
            </a:graphic>
            <wp14:sizeRelH relativeFrom="margin">
              <wp14:pctWidth>0</wp14:pctWidth>
            </wp14:sizeRelH>
            <wp14:sizeRelV relativeFrom="margin">
              <wp14:pctHeight>0</wp14:pctHeight>
            </wp14:sizeRelV>
          </wp:anchor>
        </w:drawing>
      </w:r>
      <w:r w:rsidR="008243FF" w:rsidRPr="00DE5A0B">
        <w:rPr>
          <w:rFonts w:ascii="Arial" w:hAnsi="Arial" w:cs="Arial"/>
          <w:color w:val="2658A5"/>
          <w:sz w:val="48"/>
          <w:szCs w:val="48"/>
          <w:lang w:val="en-GB"/>
        </w:rPr>
        <w:t>PRESS RELEASE</w:t>
      </w:r>
    </w:p>
    <w:p w14:paraId="0022BE11" w14:textId="4FE24414" w:rsidR="003E3B85" w:rsidRPr="00DE5A0B" w:rsidRDefault="003E3B85" w:rsidP="003E3B85">
      <w:pPr>
        <w:jc w:val="both"/>
        <w:rPr>
          <w:rFonts w:ascii="Montserrat" w:hAnsi="Montserrat"/>
          <w:sz w:val="20"/>
          <w:szCs w:val="20"/>
          <w:lang w:val="en-GB"/>
        </w:rPr>
      </w:pPr>
    </w:p>
    <w:p w14:paraId="7BDC8DE0" w14:textId="77777777" w:rsidR="003E3B85" w:rsidRPr="00DE5A0B" w:rsidRDefault="003E3B85" w:rsidP="003E3B85">
      <w:pPr>
        <w:spacing w:before="240"/>
        <w:rPr>
          <w:rFonts w:ascii="Montserrat" w:hAnsi="Montserrat"/>
          <w:b/>
          <w:bCs/>
          <w:color w:val="2658A5"/>
          <w:sz w:val="32"/>
          <w:szCs w:val="32"/>
          <w:lang w:val="en-GB"/>
        </w:rPr>
      </w:pPr>
    </w:p>
    <w:p w14:paraId="1BD33102" w14:textId="7C8E15DC" w:rsidR="00DE5A0B" w:rsidRPr="00DE5A0B" w:rsidRDefault="00DE5A0B" w:rsidP="00DE5A0B">
      <w:pPr>
        <w:jc w:val="both"/>
        <w:rPr>
          <w:rFonts w:ascii="Arial" w:hAnsi="Arial" w:cs="Arial"/>
          <w:b/>
          <w:bCs/>
          <w:color w:val="2658A5"/>
          <w:sz w:val="32"/>
          <w:szCs w:val="32"/>
          <w:lang w:val="en-GB"/>
        </w:rPr>
      </w:pPr>
      <w:r w:rsidRPr="00DE5A0B">
        <w:rPr>
          <w:rFonts w:ascii="Arial" w:hAnsi="Arial" w:cs="Arial"/>
          <w:b/>
          <w:bCs/>
          <w:color w:val="2658A5"/>
          <w:sz w:val="32"/>
          <w:szCs w:val="32"/>
          <w:lang w:val="en-GB"/>
        </w:rPr>
        <w:t>Last year, the CTIA carried out 751 inspections of e-shops and found breaches of legal regulations in 639 of them</w:t>
      </w:r>
    </w:p>
    <w:p w14:paraId="100BDAEB" w14:textId="77777777" w:rsidR="00DE5A0B" w:rsidRPr="00DE5A0B" w:rsidRDefault="00DE5A0B" w:rsidP="00DE5A0B">
      <w:pPr>
        <w:jc w:val="both"/>
        <w:rPr>
          <w:rFonts w:ascii="Arial" w:hAnsi="Arial" w:cs="Arial"/>
          <w:sz w:val="20"/>
          <w:szCs w:val="20"/>
          <w:lang w:val="en-GB"/>
        </w:rPr>
      </w:pPr>
      <w:r w:rsidRPr="00DE5A0B">
        <w:rPr>
          <w:rFonts w:ascii="Arial" w:hAnsi="Arial" w:cs="Arial"/>
          <w:sz w:val="20"/>
          <w:szCs w:val="20"/>
          <w:lang w:val="en-GB"/>
        </w:rPr>
        <w:t>(Prague, February 25, 2026)</w:t>
      </w:r>
      <w:r w:rsidRPr="00DE5A0B">
        <w:rPr>
          <w:rFonts w:ascii="Arial" w:hAnsi="Arial" w:cs="Arial"/>
          <w:b/>
          <w:bCs/>
          <w:sz w:val="20"/>
          <w:szCs w:val="20"/>
          <w:lang w:val="en-GB"/>
        </w:rPr>
        <w:t xml:space="preserve"> Last year, the CTIA continued to inspect e-shops, focusing on those suspected of failing to comply with their legal obligations. Between January 2 and December 31, 2025, a total of 751 inspections were carried out to verify compliance with the obligations arising from Act No. 634/1992 Coll. on Consumer Protection and other legal regulations. Breaches of legal regulations were found in 639 inspections, i.e., 85.09% of the inspections carried out.</w:t>
      </w:r>
    </w:p>
    <w:p w14:paraId="31DA1DE6" w14:textId="77777777" w:rsidR="00DE5A0B" w:rsidRPr="00DE5A0B" w:rsidRDefault="00DE5A0B" w:rsidP="00DE5A0B">
      <w:pPr>
        <w:jc w:val="both"/>
        <w:rPr>
          <w:rFonts w:ascii="Arial" w:hAnsi="Arial" w:cs="Arial"/>
          <w:sz w:val="20"/>
          <w:szCs w:val="20"/>
          <w:lang w:val="en-GB"/>
        </w:rPr>
      </w:pPr>
      <w:r w:rsidRPr="00DE5A0B">
        <w:rPr>
          <w:rFonts w:ascii="Arial" w:hAnsi="Arial" w:cs="Arial"/>
          <w:sz w:val="20"/>
          <w:szCs w:val="20"/>
          <w:lang w:val="en-GB"/>
        </w:rPr>
        <w:t>The inspection activity is constantly focused on the fulfilment of obligations by sellers – legal entities and natural persons selling via the Internet, including mobile applications and social networks. Within the inspection activity in 2025, CTIA detected 2,399 violations of legal regulations on the offer and sale of products and services through distance communication.</w:t>
      </w:r>
    </w:p>
    <w:p w14:paraId="17B9C0B2" w14:textId="77777777" w:rsidR="00DE5A0B" w:rsidRPr="00DE5A0B" w:rsidRDefault="00DE5A0B" w:rsidP="00DE5A0B">
      <w:pPr>
        <w:jc w:val="both"/>
        <w:rPr>
          <w:rFonts w:ascii="Arial" w:hAnsi="Arial" w:cs="Arial"/>
          <w:sz w:val="20"/>
          <w:szCs w:val="20"/>
          <w:lang w:val="en-GB"/>
        </w:rPr>
      </w:pPr>
      <w:r w:rsidRPr="00DE5A0B">
        <w:rPr>
          <w:rFonts w:ascii="Arial" w:hAnsi="Arial" w:cs="Arial"/>
          <w:sz w:val="20"/>
          <w:szCs w:val="20"/>
          <w:lang w:val="en-GB"/>
        </w:rPr>
        <w:t xml:space="preserve">Act No. 634/1992 Coll., </w:t>
      </w:r>
      <w:r w:rsidRPr="00DE5A0B">
        <w:rPr>
          <w:rFonts w:ascii="Arial" w:hAnsi="Arial" w:cs="Arial"/>
          <w:b/>
          <w:bCs/>
          <w:sz w:val="20"/>
          <w:szCs w:val="20"/>
          <w:lang w:val="en-GB"/>
        </w:rPr>
        <w:t>on Consumer Protection, was breached in 1,002 cases in 2025.</w:t>
      </w:r>
    </w:p>
    <w:p w14:paraId="4C2232B9" w14:textId="77777777" w:rsidR="00DE5A0B" w:rsidRPr="00DE5A0B" w:rsidRDefault="00DE5A0B" w:rsidP="00DE5A0B">
      <w:pPr>
        <w:jc w:val="both"/>
        <w:rPr>
          <w:rFonts w:ascii="Arial" w:hAnsi="Arial" w:cs="Arial"/>
          <w:sz w:val="20"/>
          <w:szCs w:val="20"/>
          <w:lang w:val="en-GB"/>
        </w:rPr>
      </w:pPr>
      <w:r w:rsidRPr="00DE5A0B">
        <w:rPr>
          <w:rFonts w:ascii="Arial" w:hAnsi="Arial" w:cs="Arial"/>
          <w:b/>
          <w:bCs/>
          <w:sz w:val="20"/>
          <w:szCs w:val="20"/>
          <w:lang w:val="en-GB"/>
        </w:rPr>
        <w:t>The most frequent finding was 363 infringements of Section 13, which stipulates the seller's obligation to inform consumers about the scope, conditions, and manner of exercising their rights arising from defective performance,</w:t>
      </w:r>
      <w:r w:rsidRPr="00DE5A0B">
        <w:rPr>
          <w:rFonts w:ascii="Arial" w:hAnsi="Arial" w:cs="Arial"/>
          <w:sz w:val="20"/>
          <w:szCs w:val="20"/>
          <w:lang w:val="en-GB"/>
        </w:rPr>
        <w:t xml:space="preserve"> as well as where complaints can be made. </w:t>
      </w:r>
      <w:r w:rsidRPr="00DE5A0B">
        <w:rPr>
          <w:rFonts w:ascii="Arial" w:hAnsi="Arial" w:cs="Arial"/>
          <w:b/>
          <w:bCs/>
          <w:sz w:val="20"/>
          <w:szCs w:val="20"/>
          <w:lang w:val="en-GB"/>
        </w:rPr>
        <w:t>The second most common finding, in 318 cases, was the use of unfair commercial practices</w:t>
      </w:r>
      <w:r w:rsidRPr="00DE5A0B">
        <w:rPr>
          <w:rFonts w:ascii="Arial" w:hAnsi="Arial" w:cs="Arial"/>
          <w:sz w:val="20"/>
          <w:szCs w:val="20"/>
          <w:lang w:val="en-GB"/>
        </w:rPr>
        <w:t xml:space="preserve"> that may affect consumers' economic behaviour and lead them to make decisions they would not otherwise have made. These were mainly breaches of Section 4(4) in conjunction with Section 5(1) and (2), 3 (148 cases), where CTIA staff detected </w:t>
      </w:r>
      <w:r w:rsidRPr="00DE5A0B">
        <w:rPr>
          <w:rFonts w:ascii="Arial" w:hAnsi="Arial" w:cs="Arial"/>
          <w:b/>
          <w:bCs/>
          <w:sz w:val="20"/>
          <w:szCs w:val="20"/>
          <w:lang w:val="en-GB"/>
        </w:rPr>
        <w:t>deceptive conduct by the seller towards the consumer in the sense of providing false or misleading information about the product, service, price, repair services, seller, consumer rights</w:t>
      </w:r>
      <w:r w:rsidRPr="00DE5A0B">
        <w:rPr>
          <w:rFonts w:ascii="Arial" w:hAnsi="Arial" w:cs="Arial"/>
          <w:sz w:val="20"/>
          <w:szCs w:val="20"/>
          <w:lang w:val="en-GB"/>
        </w:rPr>
        <w:t>, etc. Of these, 116 cases were directly linked to breaches of Section 4(4) in conjunction with Section 5(1). Further, 153 cases involved violations of Section 4(4) in conjunction with Section 5</w:t>
      </w:r>
      <w:proofErr w:type="gramStart"/>
      <w:r w:rsidRPr="00DE5A0B">
        <w:rPr>
          <w:rFonts w:ascii="Arial" w:hAnsi="Arial" w:cs="Arial"/>
          <w:sz w:val="20"/>
          <w:szCs w:val="20"/>
          <w:lang w:val="en-GB"/>
        </w:rPr>
        <w:t>a(</w:t>
      </w:r>
      <w:proofErr w:type="gramEnd"/>
      <w:r w:rsidRPr="00DE5A0B">
        <w:rPr>
          <w:rFonts w:ascii="Arial" w:hAnsi="Arial" w:cs="Arial"/>
          <w:sz w:val="20"/>
          <w:szCs w:val="20"/>
          <w:lang w:val="en-GB"/>
        </w:rPr>
        <w:t xml:space="preserve">1), (2), or (5), where </w:t>
      </w:r>
      <w:r w:rsidRPr="00DE5A0B">
        <w:rPr>
          <w:rFonts w:ascii="Arial" w:hAnsi="Arial" w:cs="Arial"/>
          <w:b/>
          <w:bCs/>
          <w:sz w:val="20"/>
          <w:szCs w:val="20"/>
          <w:lang w:val="en-GB"/>
        </w:rPr>
        <w:t>misleading omissions</w:t>
      </w:r>
      <w:r w:rsidRPr="00DE5A0B">
        <w:rPr>
          <w:rFonts w:ascii="Arial" w:hAnsi="Arial" w:cs="Arial"/>
          <w:sz w:val="20"/>
          <w:szCs w:val="20"/>
          <w:lang w:val="en-GB"/>
        </w:rPr>
        <w:t xml:space="preserve"> were found, as the seller or service provider failed to provide the consumer with substantial information about the product or service, or withheld information or provided it in an unclear manner, ambiguously or incomprehensibly. Of these, 91 cases concerned </w:t>
      </w:r>
      <w:r w:rsidRPr="00DE5A0B">
        <w:rPr>
          <w:rFonts w:ascii="Arial" w:hAnsi="Arial" w:cs="Arial"/>
          <w:b/>
          <w:bCs/>
          <w:sz w:val="20"/>
          <w:szCs w:val="20"/>
          <w:lang w:val="en-GB"/>
        </w:rPr>
        <w:t>consumer reviews</w:t>
      </w:r>
      <w:r w:rsidRPr="00DE5A0B">
        <w:rPr>
          <w:rFonts w:ascii="Arial" w:hAnsi="Arial" w:cs="Arial"/>
          <w:sz w:val="20"/>
          <w:szCs w:val="20"/>
          <w:lang w:val="en-GB"/>
        </w:rPr>
        <w:t xml:space="preserve"> pursuant to Section 4(4) in conjunction with Section 5</w:t>
      </w:r>
      <w:proofErr w:type="gramStart"/>
      <w:r w:rsidRPr="00DE5A0B">
        <w:rPr>
          <w:rFonts w:ascii="Arial" w:hAnsi="Arial" w:cs="Arial"/>
          <w:sz w:val="20"/>
          <w:szCs w:val="20"/>
          <w:lang w:val="en-GB"/>
        </w:rPr>
        <w:t>a(</w:t>
      </w:r>
      <w:proofErr w:type="gramEnd"/>
      <w:r w:rsidRPr="00DE5A0B">
        <w:rPr>
          <w:rFonts w:ascii="Arial" w:hAnsi="Arial" w:cs="Arial"/>
          <w:sz w:val="20"/>
          <w:szCs w:val="20"/>
          <w:lang w:val="en-GB"/>
        </w:rPr>
        <w:t>5), in which the seller failed to provide information on whether and how it ensured that the published consumer review originated with a consumer who had actually purchased the product or service. In one case, a breach of Section 4(4) in conjunction with Section 5</w:t>
      </w:r>
      <w:proofErr w:type="gramStart"/>
      <w:r w:rsidRPr="00DE5A0B">
        <w:rPr>
          <w:rFonts w:ascii="Arial" w:hAnsi="Arial" w:cs="Arial"/>
          <w:sz w:val="20"/>
          <w:szCs w:val="20"/>
          <w:lang w:val="en-GB"/>
        </w:rPr>
        <w:t>b(</w:t>
      </w:r>
      <w:proofErr w:type="gramEnd"/>
      <w:r w:rsidRPr="00DE5A0B">
        <w:rPr>
          <w:rFonts w:ascii="Arial" w:hAnsi="Arial" w:cs="Arial"/>
          <w:sz w:val="20"/>
          <w:szCs w:val="20"/>
          <w:lang w:val="en-GB"/>
        </w:rPr>
        <w:t>1) was found, concerning the use of aggressive commercial practices. In 16 cases, CTIA officers detected a breach of Section 4(4) in conjunction with Section 4(1), i.e., unfair commercial practices other than those falling under Sections 5, 5a, or 5b.</w:t>
      </w:r>
    </w:p>
    <w:p w14:paraId="5700B6AD" w14:textId="77777777" w:rsidR="00DE5A0B" w:rsidRPr="00DE5A0B" w:rsidRDefault="00DE5A0B" w:rsidP="00DE5A0B">
      <w:pPr>
        <w:jc w:val="both"/>
        <w:rPr>
          <w:rFonts w:ascii="Arial" w:hAnsi="Arial" w:cs="Arial"/>
          <w:sz w:val="20"/>
          <w:szCs w:val="20"/>
          <w:lang w:val="en-GB"/>
        </w:rPr>
      </w:pPr>
      <w:r w:rsidRPr="00DE5A0B">
        <w:rPr>
          <w:rFonts w:ascii="Arial" w:hAnsi="Arial" w:cs="Arial"/>
          <w:b/>
          <w:bCs/>
          <w:sz w:val="20"/>
          <w:szCs w:val="20"/>
          <w:lang w:val="en-GB"/>
        </w:rPr>
        <w:t>The third most frequently violated provision</w:t>
      </w:r>
      <w:r w:rsidRPr="00DE5A0B">
        <w:rPr>
          <w:rFonts w:ascii="Arial" w:hAnsi="Arial" w:cs="Arial"/>
          <w:sz w:val="20"/>
          <w:szCs w:val="20"/>
          <w:lang w:val="en-GB"/>
        </w:rPr>
        <w:t xml:space="preserve"> of the Act on Consumer Protection was Section 14(1) and (2) (135 cases), in which the seller </w:t>
      </w:r>
      <w:r w:rsidRPr="00DE5A0B">
        <w:rPr>
          <w:rFonts w:ascii="Arial" w:hAnsi="Arial" w:cs="Arial"/>
          <w:b/>
          <w:bCs/>
          <w:sz w:val="20"/>
          <w:szCs w:val="20"/>
          <w:lang w:val="en-GB"/>
        </w:rPr>
        <w:t>failed to inform the consumer in any way of the entity responsible for out-of-court settlement of consumer disputes</w:t>
      </w:r>
      <w:r w:rsidRPr="00DE5A0B">
        <w:rPr>
          <w:rFonts w:ascii="Arial" w:hAnsi="Arial" w:cs="Arial"/>
          <w:sz w:val="20"/>
          <w:szCs w:val="20"/>
          <w:lang w:val="en-GB"/>
        </w:rPr>
        <w:t xml:space="preserve"> (ADR).</w:t>
      </w:r>
    </w:p>
    <w:p w14:paraId="516CF206" w14:textId="77777777" w:rsidR="00DE5A0B" w:rsidRPr="00DE5A0B" w:rsidRDefault="00DE5A0B" w:rsidP="00DE5A0B">
      <w:pPr>
        <w:jc w:val="both"/>
        <w:rPr>
          <w:rFonts w:ascii="Arial" w:hAnsi="Arial" w:cs="Arial"/>
          <w:sz w:val="20"/>
          <w:szCs w:val="20"/>
          <w:lang w:val="en-GB"/>
        </w:rPr>
      </w:pPr>
      <w:r w:rsidRPr="00DE5A0B">
        <w:rPr>
          <w:rFonts w:ascii="Arial" w:hAnsi="Arial" w:cs="Arial"/>
          <w:sz w:val="20"/>
          <w:szCs w:val="20"/>
          <w:lang w:val="en-GB"/>
        </w:rPr>
        <w:t>Infringements regarding price information when selling consumer goods to the final consumer were found in 42 cases (Section 12). Furthermore, in 32 cases, the Authority found infringements regarding information on product discounts (Section 12a).</w:t>
      </w:r>
    </w:p>
    <w:p w14:paraId="5B8DAE97" w14:textId="77777777" w:rsidR="00DE5A0B" w:rsidRPr="00DE5A0B" w:rsidRDefault="00DE5A0B" w:rsidP="00DE5A0B">
      <w:pPr>
        <w:jc w:val="both"/>
        <w:rPr>
          <w:rFonts w:ascii="Arial" w:hAnsi="Arial" w:cs="Arial"/>
          <w:sz w:val="20"/>
          <w:szCs w:val="20"/>
          <w:lang w:val="en-GB"/>
        </w:rPr>
      </w:pPr>
      <w:r w:rsidRPr="00DE5A0B">
        <w:rPr>
          <w:rFonts w:ascii="Arial" w:hAnsi="Arial" w:cs="Arial"/>
          <w:sz w:val="20"/>
          <w:szCs w:val="20"/>
          <w:lang w:val="en-GB"/>
        </w:rPr>
        <w:t>It is also worth mentioning three cases of breaches of Section 6 on discrimination and 19 cases of breaches of Section 8 of the Act on Consumer Protection, which prohibits the offering and sale of products that infringe certain intellectual property rights.</w:t>
      </w:r>
    </w:p>
    <w:p w14:paraId="656FAB99" w14:textId="77777777" w:rsidR="00DE5A0B" w:rsidRPr="00DE5A0B" w:rsidRDefault="00DE5A0B" w:rsidP="00DE5A0B">
      <w:pPr>
        <w:jc w:val="both"/>
        <w:rPr>
          <w:rFonts w:ascii="Arial" w:hAnsi="Arial" w:cs="Arial"/>
          <w:sz w:val="20"/>
          <w:szCs w:val="20"/>
          <w:lang w:val="en-GB"/>
        </w:rPr>
      </w:pPr>
      <w:r w:rsidRPr="00DE5A0B">
        <w:rPr>
          <w:rFonts w:ascii="Arial" w:hAnsi="Arial" w:cs="Arial"/>
          <w:b/>
          <w:bCs/>
          <w:sz w:val="20"/>
          <w:szCs w:val="20"/>
          <w:lang w:val="en-GB"/>
        </w:rPr>
        <w:lastRenderedPageBreak/>
        <w:t>Act No. 89/2012 Coll., the Civil Code, was</w:t>
      </w:r>
      <w:r w:rsidRPr="00DE5A0B">
        <w:rPr>
          <w:rFonts w:ascii="Arial" w:hAnsi="Arial" w:cs="Arial"/>
          <w:sz w:val="20"/>
          <w:szCs w:val="20"/>
          <w:lang w:val="en-GB"/>
        </w:rPr>
        <w:t xml:space="preserve"> breached a total of 937 times during the period under review. Vendors most frequently breached Section 1820 (488 cases), which relates to communication before contract conclusion by means of distance communication. Of these, 240 cases involved a failure to inform </w:t>
      </w:r>
      <w:r w:rsidRPr="00DE5A0B">
        <w:rPr>
          <w:rFonts w:ascii="Arial" w:hAnsi="Arial" w:cs="Arial"/>
          <w:b/>
          <w:bCs/>
          <w:sz w:val="20"/>
          <w:szCs w:val="20"/>
          <w:lang w:val="en-GB"/>
        </w:rPr>
        <w:t>the consumer about the conditions, deadlines, and procedure for exercising the right to withdraw from the contract</w:t>
      </w:r>
      <w:r w:rsidRPr="00DE5A0B">
        <w:rPr>
          <w:rFonts w:ascii="Arial" w:hAnsi="Arial" w:cs="Arial"/>
          <w:sz w:val="20"/>
          <w:szCs w:val="20"/>
          <w:lang w:val="en-GB"/>
        </w:rPr>
        <w:t xml:space="preserve">, as well as the model withdrawal </w:t>
      </w:r>
      <w:proofErr w:type="spellStart"/>
      <w:r w:rsidRPr="00DE5A0B">
        <w:rPr>
          <w:rFonts w:ascii="Arial" w:hAnsi="Arial" w:cs="Arial"/>
          <w:sz w:val="20"/>
          <w:szCs w:val="20"/>
          <w:lang w:val="en-GB"/>
        </w:rPr>
        <w:t>form</w:t>
      </w:r>
      <w:proofErr w:type="spellEnd"/>
      <w:r w:rsidRPr="00DE5A0B">
        <w:rPr>
          <w:rFonts w:ascii="Arial" w:hAnsi="Arial" w:cs="Arial"/>
          <w:sz w:val="20"/>
          <w:szCs w:val="20"/>
          <w:lang w:val="en-GB"/>
        </w:rPr>
        <w:t xml:space="preserve"> pursuant to paragraph 1(</w:t>
      </w:r>
      <w:proofErr w:type="spellStart"/>
      <w:r w:rsidRPr="00DE5A0B">
        <w:rPr>
          <w:rFonts w:ascii="Arial" w:hAnsi="Arial" w:cs="Arial"/>
          <w:sz w:val="20"/>
          <w:szCs w:val="20"/>
          <w:lang w:val="en-GB"/>
        </w:rPr>
        <w:t>i</w:t>
      </w:r>
      <w:proofErr w:type="spellEnd"/>
      <w:r w:rsidRPr="00DE5A0B">
        <w:rPr>
          <w:rFonts w:ascii="Arial" w:hAnsi="Arial" w:cs="Arial"/>
          <w:sz w:val="20"/>
          <w:szCs w:val="20"/>
          <w:lang w:val="en-GB"/>
        </w:rPr>
        <w:t>). Another frequent infringement (47 cases) concerned paragraph 1(l), which addresses information that the consumer does not have the right to withdraw from the contract, or under what conditions the right to withdraw expires. Similarly, CTIA staff identified 46 cases of infringement under paragraphs 1(c) and 1 (h).</w:t>
      </w:r>
    </w:p>
    <w:p w14:paraId="0816F722" w14:textId="77777777" w:rsidR="00DE5A0B" w:rsidRPr="00DE5A0B" w:rsidRDefault="00DE5A0B" w:rsidP="00DE5A0B">
      <w:pPr>
        <w:jc w:val="both"/>
        <w:rPr>
          <w:rFonts w:ascii="Arial" w:hAnsi="Arial" w:cs="Arial"/>
          <w:sz w:val="20"/>
          <w:szCs w:val="20"/>
          <w:lang w:val="en-GB"/>
        </w:rPr>
      </w:pPr>
      <w:r w:rsidRPr="00DE5A0B">
        <w:rPr>
          <w:rFonts w:ascii="Arial" w:hAnsi="Arial" w:cs="Arial"/>
          <w:sz w:val="20"/>
          <w:szCs w:val="20"/>
          <w:lang w:val="en-GB"/>
        </w:rPr>
        <w:t xml:space="preserve">Furthermore, 199 cases of breaches of Section 1827 were found. Specifically, in 195 cases, the officers found that sellers </w:t>
      </w:r>
      <w:r w:rsidRPr="00DE5A0B">
        <w:rPr>
          <w:rFonts w:ascii="Arial" w:hAnsi="Arial" w:cs="Arial"/>
          <w:b/>
          <w:bCs/>
          <w:sz w:val="20"/>
          <w:szCs w:val="20"/>
          <w:lang w:val="en-GB"/>
        </w:rPr>
        <w:t xml:space="preserve">did not provide consumers with the text of the contract and general terms and conditions in written form </w:t>
      </w:r>
      <w:r w:rsidRPr="00DE5A0B">
        <w:rPr>
          <w:rFonts w:ascii="Arial" w:hAnsi="Arial" w:cs="Arial"/>
          <w:sz w:val="20"/>
          <w:szCs w:val="20"/>
          <w:lang w:val="en-GB"/>
        </w:rPr>
        <w:t>when using electronic means to conclude a contract in accordance with Section 1827(2). In 4 cases, it was found that the order was not confirmed immediately upon receipt when using a distance communication method, thereby infringing the provisions of Section 1827(1).</w:t>
      </w:r>
    </w:p>
    <w:p w14:paraId="74139210" w14:textId="77777777" w:rsidR="00DE5A0B" w:rsidRPr="00DE5A0B" w:rsidRDefault="00DE5A0B" w:rsidP="00DE5A0B">
      <w:pPr>
        <w:jc w:val="both"/>
        <w:rPr>
          <w:rFonts w:ascii="Arial" w:hAnsi="Arial" w:cs="Arial"/>
          <w:sz w:val="20"/>
          <w:szCs w:val="20"/>
          <w:lang w:val="en-GB"/>
        </w:rPr>
      </w:pPr>
      <w:r w:rsidRPr="00DE5A0B">
        <w:rPr>
          <w:rFonts w:ascii="Arial" w:hAnsi="Arial" w:cs="Arial"/>
          <w:sz w:val="20"/>
          <w:szCs w:val="20"/>
          <w:lang w:val="en-GB"/>
        </w:rPr>
        <w:t>The third most frequently violated provision of the Civil Code was Section 1826</w:t>
      </w:r>
      <w:proofErr w:type="gramStart"/>
      <w:r w:rsidRPr="00DE5A0B">
        <w:rPr>
          <w:rFonts w:ascii="Arial" w:hAnsi="Arial" w:cs="Arial"/>
          <w:sz w:val="20"/>
          <w:szCs w:val="20"/>
          <w:lang w:val="en-GB"/>
        </w:rPr>
        <w:t>a(</w:t>
      </w:r>
      <w:proofErr w:type="gramEnd"/>
      <w:r w:rsidRPr="00DE5A0B">
        <w:rPr>
          <w:rFonts w:ascii="Arial" w:hAnsi="Arial" w:cs="Arial"/>
          <w:sz w:val="20"/>
          <w:szCs w:val="20"/>
          <w:lang w:val="en-GB"/>
        </w:rPr>
        <w:t xml:space="preserve">2), which </w:t>
      </w:r>
      <w:r w:rsidRPr="00DE5A0B">
        <w:rPr>
          <w:rFonts w:ascii="Arial" w:hAnsi="Arial" w:cs="Arial"/>
          <w:b/>
          <w:bCs/>
          <w:sz w:val="20"/>
          <w:szCs w:val="20"/>
          <w:lang w:val="en-GB"/>
        </w:rPr>
        <w:t>imposes an obligation on the entrepreneur to ensure that the consumer expressly acknowledges that they are committing to a payment</w:t>
      </w:r>
      <w:r w:rsidRPr="00DE5A0B">
        <w:rPr>
          <w:rFonts w:ascii="Arial" w:hAnsi="Arial" w:cs="Arial"/>
          <w:sz w:val="20"/>
          <w:szCs w:val="20"/>
          <w:lang w:val="en-GB"/>
        </w:rPr>
        <w:t xml:space="preserve"> when placing an order using means of distance communication. If a consumer places an order using a button or similar control element, the button or control element must include an easily legible inscription "order binding to payment" or another corresponding, unambiguous formulation. The Authority detected this infringement in 107 cases.</w:t>
      </w:r>
    </w:p>
    <w:p w14:paraId="2DD7714A" w14:textId="77777777" w:rsidR="00DE5A0B" w:rsidRPr="00DE5A0B" w:rsidRDefault="00DE5A0B" w:rsidP="00DE5A0B">
      <w:pPr>
        <w:jc w:val="both"/>
        <w:rPr>
          <w:rFonts w:ascii="Arial" w:hAnsi="Arial" w:cs="Arial"/>
          <w:sz w:val="20"/>
          <w:szCs w:val="20"/>
          <w:lang w:val="en-GB"/>
        </w:rPr>
      </w:pPr>
      <w:r w:rsidRPr="00DE5A0B">
        <w:rPr>
          <w:rFonts w:ascii="Arial" w:hAnsi="Arial" w:cs="Arial"/>
          <w:sz w:val="20"/>
          <w:szCs w:val="20"/>
          <w:lang w:val="en-GB"/>
        </w:rPr>
        <w:t>Breaches of other legal regulations within the CTIA's surveillance scope were proven in 460 cases.</w:t>
      </w:r>
    </w:p>
    <w:p w14:paraId="3D21F8ED" w14:textId="77777777" w:rsidR="00DE5A0B" w:rsidRPr="00DE5A0B" w:rsidRDefault="00DE5A0B" w:rsidP="00DE5A0B">
      <w:pPr>
        <w:jc w:val="both"/>
        <w:rPr>
          <w:rFonts w:ascii="Arial" w:hAnsi="Arial" w:cs="Arial"/>
          <w:sz w:val="20"/>
          <w:szCs w:val="20"/>
          <w:lang w:val="en-GB"/>
        </w:rPr>
      </w:pPr>
      <w:r w:rsidRPr="00DE5A0B">
        <w:rPr>
          <w:rFonts w:ascii="Arial" w:hAnsi="Arial" w:cs="Arial"/>
          <w:b/>
          <w:bCs/>
          <w:sz w:val="20"/>
          <w:szCs w:val="20"/>
          <w:lang w:val="en-GB"/>
        </w:rPr>
        <w:t>Based on breaches of legal regulations within the CTIA's surveillance scope</w:t>
      </w:r>
      <w:r w:rsidRPr="00DE5A0B">
        <w:rPr>
          <w:rFonts w:ascii="Arial" w:hAnsi="Arial" w:cs="Arial"/>
          <w:sz w:val="20"/>
          <w:szCs w:val="20"/>
          <w:lang w:val="en-GB"/>
        </w:rPr>
        <w:t xml:space="preserve"> identified during the inspection activity, </w:t>
      </w:r>
      <w:r w:rsidRPr="00DE5A0B">
        <w:rPr>
          <w:rFonts w:ascii="Arial" w:hAnsi="Arial" w:cs="Arial"/>
          <w:b/>
          <w:bCs/>
          <w:sz w:val="20"/>
          <w:szCs w:val="20"/>
          <w:lang w:val="en-GB"/>
        </w:rPr>
        <w:t>a total of 646 fines, valued at CZK 12,978,500, became effective</w:t>
      </w:r>
      <w:r w:rsidRPr="00DE5A0B">
        <w:rPr>
          <w:rFonts w:ascii="Arial" w:hAnsi="Arial" w:cs="Arial"/>
          <w:sz w:val="20"/>
          <w:szCs w:val="20"/>
          <w:lang w:val="en-GB"/>
        </w:rPr>
        <w:t xml:space="preserve"> in 2025.</w:t>
      </w:r>
    </w:p>
    <w:p w14:paraId="5B577C28" w14:textId="77777777" w:rsidR="00DE5A0B" w:rsidRPr="00DE5A0B" w:rsidRDefault="00DE5A0B" w:rsidP="00DE5A0B">
      <w:pPr>
        <w:jc w:val="both"/>
        <w:rPr>
          <w:rFonts w:ascii="Arial" w:hAnsi="Arial" w:cs="Arial"/>
          <w:sz w:val="20"/>
          <w:szCs w:val="20"/>
          <w:lang w:val="en-GB"/>
        </w:rPr>
      </w:pPr>
      <w:r w:rsidRPr="00DE5A0B">
        <w:rPr>
          <w:rFonts w:ascii="Arial" w:hAnsi="Arial" w:cs="Arial"/>
          <w:sz w:val="20"/>
          <w:szCs w:val="20"/>
          <w:lang w:val="en-GB"/>
        </w:rPr>
        <w:t>Inspections of e-shops are among the most demanding in terms of time and expertise required from inspectors.</w:t>
      </w:r>
    </w:p>
    <w:p w14:paraId="4642DF20" w14:textId="77777777" w:rsidR="00DE5A0B" w:rsidRPr="00DE5A0B" w:rsidRDefault="00DE5A0B" w:rsidP="00DE5A0B">
      <w:pPr>
        <w:jc w:val="both"/>
        <w:rPr>
          <w:rFonts w:ascii="Arial" w:hAnsi="Arial" w:cs="Arial"/>
          <w:sz w:val="20"/>
          <w:szCs w:val="20"/>
          <w:lang w:val="en-GB"/>
        </w:rPr>
      </w:pPr>
      <w:r w:rsidRPr="00DE5A0B">
        <w:rPr>
          <w:rFonts w:ascii="Arial" w:hAnsi="Arial" w:cs="Arial"/>
          <w:sz w:val="20"/>
          <w:szCs w:val="20"/>
          <w:lang w:val="en-GB"/>
        </w:rPr>
        <w:t>The above ratio of the number of inspections to the number of breaches of legal regulations must be related to the system of selecting specific e-shops for inspection – based on initial screening, the Czech Trade Inspection Authority focuses on e-shops that are likely to be in breach of their legal obligations. Inspections are carried out based on prior indications of breaches of legal regulations, whether from external complaints or from the Authority's own research and previous inspection activities.</w:t>
      </w:r>
    </w:p>
    <w:p w14:paraId="0E76AB3D" w14:textId="77777777" w:rsidR="00DE5A0B" w:rsidRPr="00DE5A0B" w:rsidRDefault="00DE5A0B" w:rsidP="00DE5A0B">
      <w:pPr>
        <w:jc w:val="both"/>
        <w:rPr>
          <w:rFonts w:ascii="Arial" w:hAnsi="Arial" w:cs="Arial"/>
          <w:sz w:val="20"/>
          <w:szCs w:val="20"/>
          <w:lang w:val="en-GB"/>
        </w:rPr>
      </w:pPr>
      <w:r w:rsidRPr="00DE5A0B">
        <w:rPr>
          <w:rFonts w:ascii="Arial" w:hAnsi="Arial" w:cs="Arial"/>
          <w:sz w:val="20"/>
          <w:szCs w:val="20"/>
          <w:lang w:val="en-GB"/>
        </w:rPr>
        <w:t>The inspection results from the past year confirm that there are still a high number of shortcomings in e-commerce regarding violations of consumer legislation. Repeated flaws include, among other things, sellers providing insufficient information about the right to withdraw from a contract, the conditions for exercising this right, the costs of returning goods, the existence of conditions, deadlines, and procedures for exercising the right to withdraw from the contract, including a withdrawal template, and, last but not least, unfair commercial practices used to influence consumers in the decision-making process on a purchase.</w:t>
      </w:r>
    </w:p>
    <w:p w14:paraId="24EDA474" w14:textId="4DB6F50A" w:rsidR="00DE03C1" w:rsidRPr="00DE5A0B" w:rsidRDefault="00DE5A0B" w:rsidP="00DE5A0B">
      <w:pPr>
        <w:jc w:val="both"/>
        <w:rPr>
          <w:rFonts w:ascii="Arial" w:hAnsi="Arial" w:cs="Arial"/>
          <w:sz w:val="20"/>
          <w:szCs w:val="20"/>
          <w:lang w:val="en-GB"/>
        </w:rPr>
      </w:pPr>
      <w:r w:rsidRPr="00DE5A0B">
        <w:rPr>
          <w:rFonts w:ascii="Arial" w:hAnsi="Arial" w:cs="Arial"/>
          <w:sz w:val="20"/>
          <w:szCs w:val="20"/>
          <w:lang w:val="en-GB"/>
        </w:rPr>
        <w:t>Monitoring the internet environment will remain one of the CTIA's priorities in 2026, with inspections focusing on all forms of internet sales, including sales via social networks and mobile applications</w:t>
      </w:r>
      <w:r w:rsidR="00AE4B4B" w:rsidRPr="00DE5A0B">
        <w:rPr>
          <w:rFonts w:ascii="Arial" w:hAnsi="Arial" w:cs="Arial"/>
          <w:sz w:val="20"/>
          <w:szCs w:val="20"/>
          <w:lang w:val="en-GB"/>
        </w:rPr>
        <w:t>.</w:t>
      </w:r>
    </w:p>
    <w:sectPr w:rsidR="00DE03C1" w:rsidRPr="00DE5A0B" w:rsidSect="00663C7B">
      <w:headerReference w:type="default" r:id="rId9"/>
      <w:footerReference w:type="default" r:id="rId10"/>
      <w:pgSz w:w="11906" w:h="16838"/>
      <w:pgMar w:top="1134" w:right="1417" w:bottom="1701"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E8EF" w14:textId="77777777" w:rsidR="00781020" w:rsidRDefault="00781020" w:rsidP="00807D68">
      <w:pPr>
        <w:spacing w:after="0" w:line="240" w:lineRule="auto"/>
      </w:pPr>
      <w:r>
        <w:separator/>
      </w:r>
    </w:p>
  </w:endnote>
  <w:endnote w:type="continuationSeparator" w:id="0">
    <w:p w14:paraId="0F98EAD4" w14:textId="77777777" w:rsidR="00781020" w:rsidRDefault="00781020" w:rsidP="0080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33D7" w14:textId="77777777" w:rsidR="00080EBA" w:rsidRPr="000B3C18" w:rsidRDefault="00080EBA" w:rsidP="00080EBA">
    <w:pPr>
      <w:spacing w:line="276" w:lineRule="auto"/>
      <w:ind w:left="5664" w:firstLine="708"/>
      <w:rPr>
        <w:rFonts w:ascii="Arial" w:hAnsi="Arial" w:cs="Arial"/>
        <w:bCs/>
        <w:color w:val="2658A5"/>
        <w:sz w:val="18"/>
        <w:szCs w:val="18"/>
      </w:rPr>
    </w:pPr>
    <w:r w:rsidRPr="000B3C18">
      <w:rPr>
        <w:rFonts w:ascii="Arial" w:hAnsi="Arial" w:cs="Arial"/>
        <w:noProof/>
        <w:color w:val="2658A5"/>
        <w:sz w:val="18"/>
        <w:szCs w:val="18"/>
        <w:lang w:eastAsia="cs-CZ"/>
      </w:rPr>
      <mc:AlternateContent>
        <mc:Choice Requires="wps">
          <w:drawing>
            <wp:anchor distT="0" distB="0" distL="114300" distR="114300" simplePos="0" relativeHeight="251659264" behindDoc="1" locked="0" layoutInCell="1" allowOverlap="1" wp14:anchorId="098F4762" wp14:editId="58B227A2">
              <wp:simplePos x="0" y="0"/>
              <wp:positionH relativeFrom="column">
                <wp:posOffset>3472180</wp:posOffset>
              </wp:positionH>
              <wp:positionV relativeFrom="paragraph">
                <wp:posOffset>10160</wp:posOffset>
              </wp:positionV>
              <wp:extent cx="2361564" cy="653414"/>
              <wp:effectExtent l="0" t="0" r="1270" b="127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4" cy="653414"/>
                      </a:xfrm>
                      <a:prstGeom prst="rect">
                        <a:avLst/>
                      </a:prstGeom>
                      <a:solidFill>
                        <a:srgbClr val="FFFFFF"/>
                      </a:solidFill>
                      <a:ln w="9525">
                        <a:noFill/>
                        <a:miter lim="800000"/>
                        <a:headEnd/>
                        <a:tailEnd/>
                      </a:ln>
                    </wps:spPr>
                    <wps:txbx>
                      <w:txbxContent>
                        <w:p w14:paraId="5AB4CB80" w14:textId="77777777" w:rsidR="00080EBA" w:rsidRPr="00EC65D4" w:rsidRDefault="00080EBA" w:rsidP="00080EBA">
                          <w:pPr>
                            <w:jc w:val="right"/>
                            <w:rPr>
                              <w:rFonts w:ascii="Arial" w:hAnsi="Arial" w:cs="Arial"/>
                              <w:sz w:val="18"/>
                              <w:szCs w:val="18"/>
                              <w:lang w:val="fr-FR"/>
                            </w:rPr>
                          </w:pPr>
                          <w:r w:rsidRPr="00EC65D4">
                            <w:rPr>
                              <w:rFonts w:ascii="Arial" w:hAnsi="Arial" w:cs="Arial"/>
                              <w:bCs/>
                              <w:color w:val="2658A5"/>
                              <w:sz w:val="18"/>
                              <w:szCs w:val="18"/>
                              <w:lang w:val="fr-FR"/>
                            </w:rPr>
                            <w:t>Phone: +420 296 366 233</w:t>
                          </w:r>
                          <w:r w:rsidRPr="00EC65D4">
                            <w:rPr>
                              <w:rFonts w:ascii="Arial" w:hAnsi="Arial" w:cs="Arial"/>
                              <w:bCs/>
                              <w:color w:val="2658A5"/>
                              <w:sz w:val="18"/>
                              <w:szCs w:val="18"/>
                              <w:lang w:val="fr-FR"/>
                            </w:rPr>
                            <w:br/>
                            <w:t>Mobile: +420 731 553 732</w:t>
                          </w:r>
                          <w:r w:rsidRPr="00EC65D4">
                            <w:rPr>
                              <w:rFonts w:ascii="Arial" w:hAnsi="Arial" w:cs="Arial"/>
                              <w:bCs/>
                              <w:color w:val="2658A5"/>
                              <w:sz w:val="18"/>
                              <w:szCs w:val="18"/>
                              <w:lang w:val="fr-FR"/>
                            </w:rPr>
                            <w:br/>
                            <w:t>E-mail: mluvci@coi.gov.cz</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098F4762" id="_x0000_t202" coordsize="21600,21600" o:spt="202" path="m,l,21600r21600,l21600,xe">
              <v:stroke joinstyle="miter"/>
              <v:path gradientshapeok="t" o:connecttype="rect"/>
            </v:shapetype>
            <v:shape id="Textové pole 2" o:spid="_x0000_s1026" type="#_x0000_t202" style="position:absolute;left:0;text-align:left;margin-left:273.4pt;margin-top:.8pt;width:185.95pt;height:5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" stroked="f">
              <v:textbox style="mso-fit-shape-to-text:t">
                <w:txbxContent>
                  <w:p w14:paraId="5AB4CB80" w14:textId="77777777" w:rsidR="00080EBA" w:rsidRPr="00EC65D4" w:rsidRDefault="00080EBA" w:rsidP="00080EBA">
                    <w:pPr>
                      <w:jc w:val="right"/>
                      <w:rPr>
                        <w:rFonts w:ascii="Arial" w:hAnsi="Arial" w:cs="Arial"/>
                        <w:sz w:val="18"/>
                        <w:szCs w:val="18"/>
                        <w:lang w:val="fr-FR"/>
                      </w:rPr>
                    </w:pPr>
                    <w:r w:rsidRPr="00EC65D4">
                      <w:rPr>
                        <w:rFonts w:ascii="Arial" w:hAnsi="Arial" w:cs="Arial"/>
                        <w:bCs/>
                        <w:color w:val="2658A5"/>
                        <w:sz w:val="18"/>
                        <w:szCs w:val="18"/>
                        <w:lang w:val="fr-FR"/>
                      </w:rPr>
                      <w:t>Phone: +420 296 366 233</w:t>
                    </w:r>
                    <w:r w:rsidRPr="00EC65D4">
                      <w:rPr>
                        <w:rFonts w:ascii="Arial" w:hAnsi="Arial" w:cs="Arial"/>
                        <w:bCs/>
                        <w:color w:val="2658A5"/>
                        <w:sz w:val="18"/>
                        <w:szCs w:val="18"/>
                        <w:lang w:val="fr-FR"/>
                      </w:rPr>
                      <w:br/>
                      <w:t>Mobile: +420 731 553 732</w:t>
                    </w:r>
                    <w:r w:rsidRPr="00EC65D4">
                      <w:rPr>
                        <w:rFonts w:ascii="Arial" w:hAnsi="Arial" w:cs="Arial"/>
                        <w:bCs/>
                        <w:color w:val="2658A5"/>
                        <w:sz w:val="18"/>
                        <w:szCs w:val="18"/>
                        <w:lang w:val="fr-FR"/>
                      </w:rPr>
                      <w:br/>
                      <w:t>E-mail: mluvci@coi.gov.cz</w:t>
                    </w:r>
                  </w:p>
                </w:txbxContent>
              </v:textbox>
            </v:shape>
          </w:pict>
        </mc:Fallback>
      </mc:AlternateContent>
    </w:r>
    <w:r w:rsidRPr="000B3C18">
      <w:rPr>
        <w:rFonts w:ascii="Arial" w:hAnsi="Arial" w:cs="Arial"/>
        <w:noProof/>
        <w:color w:val="2658A5"/>
        <w:sz w:val="18"/>
        <w:szCs w:val="18"/>
        <w:lang w:eastAsia="cs-CZ"/>
      </w:rPr>
      <mc:AlternateContent>
        <mc:Choice Requires="wps">
          <w:drawing>
            <wp:anchor distT="0" distB="0" distL="114300" distR="114300" simplePos="0" relativeHeight="251660288" behindDoc="1" locked="0" layoutInCell="1" allowOverlap="1" wp14:anchorId="45A7520F" wp14:editId="3F03EBFB">
              <wp:simplePos x="0" y="0"/>
              <wp:positionH relativeFrom="column">
                <wp:posOffset>-109220</wp:posOffset>
              </wp:positionH>
              <wp:positionV relativeFrom="paragraph">
                <wp:posOffset>7620</wp:posOffset>
              </wp:positionV>
              <wp:extent cx="2085975" cy="1404620"/>
              <wp:effectExtent l="0" t="0" r="9525" b="9525"/>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04620"/>
                      </a:xfrm>
                      <a:prstGeom prst="rect">
                        <a:avLst/>
                      </a:prstGeom>
                      <a:solidFill>
                        <a:srgbClr val="FFFFFF"/>
                      </a:solidFill>
                      <a:ln w="9525">
                        <a:noFill/>
                        <a:miter lim="800000"/>
                        <a:headEnd/>
                        <a:tailEnd/>
                      </a:ln>
                    </wps:spPr>
                    <wps:txbx>
                      <w:txbxContent>
                        <w:p w14:paraId="64EFE48F" w14:textId="77777777" w:rsidR="00080EBA" w:rsidRPr="00DC6D14" w:rsidRDefault="00080EBA" w:rsidP="00080EBA">
                          <w:pPr>
                            <w:rPr>
                              <w:rFonts w:ascii="Arial" w:hAnsi="Arial" w:cs="Arial"/>
                              <w:sz w:val="18"/>
                              <w:szCs w:val="18"/>
                              <w:lang w:val="en-GB"/>
                            </w:rPr>
                          </w:pPr>
                          <w:r w:rsidRPr="00DC6D14">
                            <w:rPr>
                              <w:rFonts w:ascii="Arial" w:hAnsi="Arial" w:cs="Arial"/>
                              <w:color w:val="2658A5"/>
                              <w:sz w:val="18"/>
                              <w:szCs w:val="18"/>
                              <w:lang w:val="en-GB"/>
                            </w:rPr>
                            <w:t>Contact: Spokesperson of the CTIA</w:t>
                          </w:r>
                          <w:r w:rsidRPr="00DC6D14">
                            <w:rPr>
                              <w:rFonts w:ascii="Arial" w:hAnsi="Arial" w:cs="Arial"/>
                              <w:color w:val="2658A5"/>
                              <w:sz w:val="18"/>
                              <w:szCs w:val="18"/>
                              <w:lang w:val="en-GB"/>
                            </w:rPr>
                            <w:br/>
                            <w:t>Mgr. František Kotrba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5A7520F" id="_x0000_s1027" type="#_x0000_t202" style="position:absolute;left:0;text-align:left;margin-left:-8.6pt;margin-top:.6pt;width:164.2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" stroked="f">
              <v:textbox style="mso-fit-shape-to-text:t">
                <w:txbxContent>
                  <w:p w14:paraId="64EFE48F" w14:textId="77777777" w:rsidR="00080EBA" w:rsidRPr="00DC6D14" w:rsidRDefault="00080EBA" w:rsidP="00080EBA">
                    <w:pPr>
                      <w:rPr>
                        <w:rFonts w:ascii="Arial" w:hAnsi="Arial" w:cs="Arial"/>
                        <w:sz w:val="18"/>
                        <w:szCs w:val="18"/>
                        <w:lang w:val="en-GB"/>
                      </w:rPr>
                    </w:pPr>
                    <w:r w:rsidRPr="00DC6D14">
                      <w:rPr>
                        <w:rFonts w:ascii="Arial" w:hAnsi="Arial" w:cs="Arial"/>
                        <w:color w:val="2658A5"/>
                        <w:sz w:val="18"/>
                        <w:szCs w:val="18"/>
                        <w:lang w:val="en-GB"/>
                      </w:rPr>
                      <w:t>Contact: Spokesperson of the CTIA</w:t>
                    </w:r>
                    <w:r w:rsidRPr="00DC6D14">
                      <w:rPr>
                        <w:rFonts w:ascii="Arial" w:hAnsi="Arial" w:cs="Arial"/>
                        <w:color w:val="2658A5"/>
                        <w:sz w:val="18"/>
                        <w:szCs w:val="18"/>
                        <w:lang w:val="en-GB"/>
                      </w:rPr>
                      <w:br/>
                      <w:t>Mgr. František Kotrba</w:t>
                    </w:r>
                  </w:p>
                </w:txbxContent>
              </v:textbox>
            </v:shape>
          </w:pict>
        </mc:Fallback>
      </mc:AlternateContent>
    </w:r>
  </w:p>
  <w:p w14:paraId="2E86EAD4" w14:textId="77777777" w:rsidR="00F34A6A" w:rsidRPr="00080EBA" w:rsidRDefault="00F34A6A" w:rsidP="00080E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A166" w14:textId="77777777" w:rsidR="00781020" w:rsidRDefault="00781020" w:rsidP="00807D68">
      <w:pPr>
        <w:spacing w:after="0" w:line="240" w:lineRule="auto"/>
      </w:pPr>
      <w:r>
        <w:separator/>
      </w:r>
    </w:p>
  </w:footnote>
  <w:footnote w:type="continuationSeparator" w:id="0">
    <w:p w14:paraId="5CF44D8C" w14:textId="77777777" w:rsidR="00781020" w:rsidRDefault="00781020" w:rsidP="0080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F505" w14:textId="77777777" w:rsidR="00807D68" w:rsidRDefault="00807D68">
    <w:pPr>
      <w:pStyle w:val="Zhlav"/>
    </w:pPr>
  </w:p>
  <w:p w14:paraId="03206D20" w14:textId="77777777" w:rsidR="00807D68" w:rsidRDefault="00807D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4E4C"/>
    <w:multiLevelType w:val="hybridMultilevel"/>
    <w:tmpl w:val="034A8C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B846E97"/>
    <w:multiLevelType w:val="hybridMultilevel"/>
    <w:tmpl w:val="B97C54A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1322A06"/>
    <w:multiLevelType w:val="hybridMultilevel"/>
    <w:tmpl w:val="BFA22E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15D655A"/>
    <w:multiLevelType w:val="hybridMultilevel"/>
    <w:tmpl w:val="EBF25C0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3CF14BD"/>
    <w:multiLevelType w:val="hybridMultilevel"/>
    <w:tmpl w:val="897273A6"/>
    <w:lvl w:ilvl="0" w:tplc="C8B0BBF2">
      <w:start w:val="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2165365">
    <w:abstractNumId w:val="0"/>
  </w:num>
  <w:num w:numId="2" w16cid:durableId="1270314634">
    <w:abstractNumId w:val="1"/>
  </w:num>
  <w:num w:numId="3" w16cid:durableId="889346739">
    <w:abstractNumId w:val="4"/>
  </w:num>
  <w:num w:numId="4" w16cid:durableId="1144276865">
    <w:abstractNumId w:val="3"/>
  </w:num>
  <w:num w:numId="5" w16cid:durableId="203762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CF"/>
    <w:rsid w:val="00007B29"/>
    <w:rsid w:val="00026401"/>
    <w:rsid w:val="00042DF0"/>
    <w:rsid w:val="00056E6A"/>
    <w:rsid w:val="00062220"/>
    <w:rsid w:val="000702D9"/>
    <w:rsid w:val="000733BE"/>
    <w:rsid w:val="0007513D"/>
    <w:rsid w:val="00080EBA"/>
    <w:rsid w:val="000951C5"/>
    <w:rsid w:val="000B0F7F"/>
    <w:rsid w:val="000B3C18"/>
    <w:rsid w:val="000D0B8C"/>
    <w:rsid w:val="00104460"/>
    <w:rsid w:val="001044D4"/>
    <w:rsid w:val="00105DFE"/>
    <w:rsid w:val="001134E0"/>
    <w:rsid w:val="0013165B"/>
    <w:rsid w:val="001472E1"/>
    <w:rsid w:val="00161A6B"/>
    <w:rsid w:val="0018640D"/>
    <w:rsid w:val="001925E4"/>
    <w:rsid w:val="001C2627"/>
    <w:rsid w:val="001C2E88"/>
    <w:rsid w:val="001D0E07"/>
    <w:rsid w:val="001D53E4"/>
    <w:rsid w:val="001F2C8A"/>
    <w:rsid w:val="00225F02"/>
    <w:rsid w:val="00243D9A"/>
    <w:rsid w:val="002562B6"/>
    <w:rsid w:val="002A70AA"/>
    <w:rsid w:val="002C2749"/>
    <w:rsid w:val="002C374E"/>
    <w:rsid w:val="002D38DF"/>
    <w:rsid w:val="003461B6"/>
    <w:rsid w:val="00350179"/>
    <w:rsid w:val="003719C4"/>
    <w:rsid w:val="003973BB"/>
    <w:rsid w:val="003A387B"/>
    <w:rsid w:val="003A7A4F"/>
    <w:rsid w:val="003C0A5C"/>
    <w:rsid w:val="003C4362"/>
    <w:rsid w:val="003E3B85"/>
    <w:rsid w:val="003F3747"/>
    <w:rsid w:val="004273D1"/>
    <w:rsid w:val="00432A70"/>
    <w:rsid w:val="0046373B"/>
    <w:rsid w:val="00483AC6"/>
    <w:rsid w:val="00494ACB"/>
    <w:rsid w:val="004D73ED"/>
    <w:rsid w:val="004F04FD"/>
    <w:rsid w:val="004F3AA9"/>
    <w:rsid w:val="00537597"/>
    <w:rsid w:val="00550590"/>
    <w:rsid w:val="005511DC"/>
    <w:rsid w:val="00572CFD"/>
    <w:rsid w:val="00577B57"/>
    <w:rsid w:val="00580758"/>
    <w:rsid w:val="00586068"/>
    <w:rsid w:val="00592C1D"/>
    <w:rsid w:val="00594EEA"/>
    <w:rsid w:val="005A0FA4"/>
    <w:rsid w:val="005A3A49"/>
    <w:rsid w:val="005F776A"/>
    <w:rsid w:val="0061127C"/>
    <w:rsid w:val="0061538D"/>
    <w:rsid w:val="006252EB"/>
    <w:rsid w:val="00653A86"/>
    <w:rsid w:val="00663C7B"/>
    <w:rsid w:val="006750B6"/>
    <w:rsid w:val="006753FB"/>
    <w:rsid w:val="00695914"/>
    <w:rsid w:val="006A0282"/>
    <w:rsid w:val="006A074A"/>
    <w:rsid w:val="006D29C2"/>
    <w:rsid w:val="006D3910"/>
    <w:rsid w:val="00735C36"/>
    <w:rsid w:val="00781020"/>
    <w:rsid w:val="00784FBE"/>
    <w:rsid w:val="007A347B"/>
    <w:rsid w:val="007B3DD2"/>
    <w:rsid w:val="007C3195"/>
    <w:rsid w:val="007C40CF"/>
    <w:rsid w:val="007D00B2"/>
    <w:rsid w:val="007E237F"/>
    <w:rsid w:val="007E298F"/>
    <w:rsid w:val="008078D2"/>
    <w:rsid w:val="00807D68"/>
    <w:rsid w:val="008243FF"/>
    <w:rsid w:val="00840C70"/>
    <w:rsid w:val="00882F53"/>
    <w:rsid w:val="00895319"/>
    <w:rsid w:val="008A1E51"/>
    <w:rsid w:val="008D0293"/>
    <w:rsid w:val="008D3C53"/>
    <w:rsid w:val="008D5E3F"/>
    <w:rsid w:val="008F25EA"/>
    <w:rsid w:val="0090767D"/>
    <w:rsid w:val="00917CBB"/>
    <w:rsid w:val="0092339C"/>
    <w:rsid w:val="00940C0B"/>
    <w:rsid w:val="00952679"/>
    <w:rsid w:val="009528C7"/>
    <w:rsid w:val="00955DA0"/>
    <w:rsid w:val="00970F06"/>
    <w:rsid w:val="00974AF4"/>
    <w:rsid w:val="009A3845"/>
    <w:rsid w:val="009A6325"/>
    <w:rsid w:val="009B4A35"/>
    <w:rsid w:val="009E32D6"/>
    <w:rsid w:val="009F2D9C"/>
    <w:rsid w:val="00A24583"/>
    <w:rsid w:val="00A549E6"/>
    <w:rsid w:val="00A57931"/>
    <w:rsid w:val="00A95A44"/>
    <w:rsid w:val="00AD2EE9"/>
    <w:rsid w:val="00AD5B30"/>
    <w:rsid w:val="00AE4B4B"/>
    <w:rsid w:val="00B052C1"/>
    <w:rsid w:val="00B40171"/>
    <w:rsid w:val="00B44F4B"/>
    <w:rsid w:val="00B53039"/>
    <w:rsid w:val="00B91627"/>
    <w:rsid w:val="00BA04BC"/>
    <w:rsid w:val="00BE29F2"/>
    <w:rsid w:val="00C30977"/>
    <w:rsid w:val="00C411D0"/>
    <w:rsid w:val="00C65634"/>
    <w:rsid w:val="00C96835"/>
    <w:rsid w:val="00C97D46"/>
    <w:rsid w:val="00CA6CC6"/>
    <w:rsid w:val="00CD21E6"/>
    <w:rsid w:val="00CE40CA"/>
    <w:rsid w:val="00CF47FA"/>
    <w:rsid w:val="00D00046"/>
    <w:rsid w:val="00D02162"/>
    <w:rsid w:val="00D100A7"/>
    <w:rsid w:val="00D147B8"/>
    <w:rsid w:val="00D3177D"/>
    <w:rsid w:val="00D33294"/>
    <w:rsid w:val="00D43AEE"/>
    <w:rsid w:val="00D66CD2"/>
    <w:rsid w:val="00D763A0"/>
    <w:rsid w:val="00D966A5"/>
    <w:rsid w:val="00DA51CF"/>
    <w:rsid w:val="00DB204A"/>
    <w:rsid w:val="00DC5B7E"/>
    <w:rsid w:val="00DC7359"/>
    <w:rsid w:val="00DE03C1"/>
    <w:rsid w:val="00DE5A0B"/>
    <w:rsid w:val="00E01D17"/>
    <w:rsid w:val="00E04F9D"/>
    <w:rsid w:val="00E17BF0"/>
    <w:rsid w:val="00E26F19"/>
    <w:rsid w:val="00E3728D"/>
    <w:rsid w:val="00E7177C"/>
    <w:rsid w:val="00E87981"/>
    <w:rsid w:val="00EA1D75"/>
    <w:rsid w:val="00EA7383"/>
    <w:rsid w:val="00EB0B4E"/>
    <w:rsid w:val="00EC1A31"/>
    <w:rsid w:val="00ED3FF5"/>
    <w:rsid w:val="00ED4CDF"/>
    <w:rsid w:val="00EF00D5"/>
    <w:rsid w:val="00F168AF"/>
    <w:rsid w:val="00F216CA"/>
    <w:rsid w:val="00F34A6A"/>
    <w:rsid w:val="00F4039A"/>
    <w:rsid w:val="00F55D33"/>
    <w:rsid w:val="00F70880"/>
    <w:rsid w:val="00F70EE8"/>
    <w:rsid w:val="00F943BC"/>
    <w:rsid w:val="00FA2BCE"/>
    <w:rsid w:val="00FB2435"/>
    <w:rsid w:val="00FB4A53"/>
    <w:rsid w:val="00FC50C2"/>
    <w:rsid w:val="00FD64A0"/>
    <w:rsid w:val="00FF364A"/>
    <w:rsid w:val="00FF39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64AC"/>
  <w15:chartTrackingRefBased/>
  <w15:docId w15:val="{A6B7E4F7-B832-45EB-B1F5-D1FAA85C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07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7D68"/>
  </w:style>
  <w:style w:type="paragraph" w:styleId="Zpat">
    <w:name w:val="footer"/>
    <w:basedOn w:val="Normln"/>
    <w:link w:val="ZpatChar"/>
    <w:uiPriority w:val="99"/>
    <w:unhideWhenUsed/>
    <w:rsid w:val="00807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07D68"/>
  </w:style>
  <w:style w:type="table" w:styleId="Mkatabulky">
    <w:name w:val="Table Grid"/>
    <w:basedOn w:val="Normlntabulka"/>
    <w:uiPriority w:val="39"/>
    <w:rsid w:val="00B4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C1D"/>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7E298F"/>
    <w:pPr>
      <w:spacing w:after="200" w:line="276" w:lineRule="auto"/>
      <w:ind w:left="720"/>
      <w:contextualSpacing/>
    </w:pPr>
    <w:rPr>
      <w:rFonts w:ascii="Calibri" w:eastAsia="Calibri" w:hAnsi="Calibri" w:cs="Times New Roman"/>
    </w:rPr>
  </w:style>
  <w:style w:type="character" w:styleId="PromnnHTML">
    <w:name w:val="HTML Variable"/>
    <w:uiPriority w:val="99"/>
    <w:unhideWhenUsed/>
    <w:rsid w:val="007E298F"/>
    <w:rPr>
      <w:i/>
      <w:iCs/>
    </w:rPr>
  </w:style>
  <w:style w:type="character" w:styleId="Odkaznakoment">
    <w:name w:val="annotation reference"/>
    <w:basedOn w:val="Standardnpsmoodstavce"/>
    <w:uiPriority w:val="99"/>
    <w:semiHidden/>
    <w:unhideWhenUsed/>
    <w:rsid w:val="009A3845"/>
    <w:rPr>
      <w:sz w:val="16"/>
      <w:szCs w:val="16"/>
    </w:rPr>
  </w:style>
  <w:style w:type="paragraph" w:styleId="Textkomente">
    <w:name w:val="annotation text"/>
    <w:basedOn w:val="Normln"/>
    <w:link w:val="TextkomenteChar"/>
    <w:uiPriority w:val="99"/>
    <w:semiHidden/>
    <w:unhideWhenUsed/>
    <w:rsid w:val="009A3845"/>
    <w:pPr>
      <w:spacing w:line="240" w:lineRule="auto"/>
    </w:pPr>
    <w:rPr>
      <w:sz w:val="20"/>
      <w:szCs w:val="20"/>
    </w:rPr>
  </w:style>
  <w:style w:type="character" w:customStyle="1" w:styleId="TextkomenteChar">
    <w:name w:val="Text komentáře Char"/>
    <w:basedOn w:val="Standardnpsmoodstavce"/>
    <w:link w:val="Textkomente"/>
    <w:uiPriority w:val="99"/>
    <w:semiHidden/>
    <w:rsid w:val="009A3845"/>
    <w:rPr>
      <w:sz w:val="20"/>
      <w:szCs w:val="20"/>
    </w:rPr>
  </w:style>
  <w:style w:type="paragraph" w:styleId="Pedmtkomente">
    <w:name w:val="annotation subject"/>
    <w:basedOn w:val="Textkomente"/>
    <w:next w:val="Textkomente"/>
    <w:link w:val="PedmtkomenteChar"/>
    <w:uiPriority w:val="99"/>
    <w:semiHidden/>
    <w:unhideWhenUsed/>
    <w:rsid w:val="009A3845"/>
    <w:rPr>
      <w:b/>
      <w:bCs/>
    </w:rPr>
  </w:style>
  <w:style w:type="character" w:customStyle="1" w:styleId="PedmtkomenteChar">
    <w:name w:val="Předmět komentáře Char"/>
    <w:basedOn w:val="TextkomenteChar"/>
    <w:link w:val="Pedmtkomente"/>
    <w:uiPriority w:val="99"/>
    <w:semiHidden/>
    <w:rsid w:val="009A3845"/>
    <w:rPr>
      <w:b/>
      <w:bCs/>
      <w:sz w:val="20"/>
      <w:szCs w:val="20"/>
    </w:rPr>
  </w:style>
  <w:style w:type="paragraph" w:styleId="Revize">
    <w:name w:val="Revision"/>
    <w:hidden/>
    <w:uiPriority w:val="99"/>
    <w:semiHidden/>
    <w:rsid w:val="003461B6"/>
    <w:pPr>
      <w:spacing w:after="0" w:line="240" w:lineRule="auto"/>
    </w:pPr>
  </w:style>
  <w:style w:type="paragraph" w:styleId="Normlnweb">
    <w:name w:val="Normal (Web)"/>
    <w:basedOn w:val="Normln"/>
    <w:uiPriority w:val="99"/>
    <w:semiHidden/>
    <w:unhideWhenUsed/>
    <w:rsid w:val="00DE5A0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97038">
      <w:bodyDiv w:val="1"/>
      <w:marLeft w:val="0"/>
      <w:marRight w:val="0"/>
      <w:marTop w:val="0"/>
      <w:marBottom w:val="0"/>
      <w:divBdr>
        <w:top w:val="none" w:sz="0" w:space="0" w:color="auto"/>
        <w:left w:val="none" w:sz="0" w:space="0" w:color="auto"/>
        <w:bottom w:val="none" w:sz="0" w:space="0" w:color="auto"/>
        <w:right w:val="none" w:sz="0" w:space="0" w:color="auto"/>
      </w:divBdr>
    </w:div>
    <w:div w:id="917523613">
      <w:bodyDiv w:val="1"/>
      <w:marLeft w:val="0"/>
      <w:marRight w:val="0"/>
      <w:marTop w:val="0"/>
      <w:marBottom w:val="0"/>
      <w:divBdr>
        <w:top w:val="none" w:sz="0" w:space="0" w:color="auto"/>
        <w:left w:val="none" w:sz="0" w:space="0" w:color="auto"/>
        <w:bottom w:val="none" w:sz="0" w:space="0" w:color="auto"/>
        <w:right w:val="none" w:sz="0" w:space="0" w:color="auto"/>
      </w:divBdr>
    </w:div>
    <w:div w:id="1038702167">
      <w:bodyDiv w:val="1"/>
      <w:marLeft w:val="0"/>
      <w:marRight w:val="0"/>
      <w:marTop w:val="0"/>
      <w:marBottom w:val="0"/>
      <w:divBdr>
        <w:top w:val="none" w:sz="0" w:space="0" w:color="auto"/>
        <w:left w:val="none" w:sz="0" w:space="0" w:color="auto"/>
        <w:bottom w:val="none" w:sz="0" w:space="0" w:color="auto"/>
        <w:right w:val="none" w:sz="0" w:space="0" w:color="auto"/>
      </w:divBdr>
    </w:div>
    <w:div w:id="149476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FEE7-98A3-4788-B967-47E16946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1060</Words>
  <Characters>6259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Klimecká Ester, Mgr. Bc.</dc:creator>
  <cp:keywords/>
  <dc:description/>
  <cp:lastModifiedBy>Tichota Ondřej, Mgr., DiS.</cp:lastModifiedBy>
  <cp:revision>3</cp:revision>
  <cp:lastPrinted>2025-03-03T13:59:00Z</cp:lastPrinted>
  <dcterms:created xsi:type="dcterms:W3CDTF">2026-02-27T11:10:00Z</dcterms:created>
  <dcterms:modified xsi:type="dcterms:W3CDTF">2026-02-27T11:16:00Z</dcterms:modified>
</cp:coreProperties>
</file>