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C458" w14:textId="51756A8D" w:rsidR="003E3B85" w:rsidRPr="0010215A" w:rsidRDefault="003E3B85" w:rsidP="003E3B85">
      <w:pPr>
        <w:spacing w:before="240"/>
        <w:jc w:val="right"/>
        <w:rPr>
          <w:rFonts w:ascii="Arial" w:hAnsi="Arial" w:cs="Arial"/>
          <w:color w:val="2658A5"/>
          <w:sz w:val="48"/>
          <w:szCs w:val="48"/>
          <w:lang w:val="en-GB"/>
        </w:rPr>
      </w:pPr>
      <w:r w:rsidRPr="0010215A">
        <w:rPr>
          <w:rFonts w:ascii="Arial" w:hAnsi="Arial" w:cs="Arial"/>
          <w:color w:val="2658A5"/>
          <w:sz w:val="48"/>
          <w:szCs w:val="48"/>
          <w:lang w:val="en-GB" w:eastAsia="cs-CZ"/>
        </w:rPr>
        <w:drawing>
          <wp:anchor distT="0" distB="0" distL="114300" distR="114300" simplePos="0" relativeHeight="251659264" behindDoc="1" locked="0" layoutInCell="1" allowOverlap="1" wp14:anchorId="17E71488" wp14:editId="74A80BE3">
            <wp:simplePos x="0" y="0"/>
            <wp:positionH relativeFrom="margin">
              <wp:posOffset>-39757</wp:posOffset>
            </wp:positionH>
            <wp:positionV relativeFrom="margin">
              <wp:posOffset>93593</wp:posOffset>
            </wp:positionV>
            <wp:extent cx="2120265" cy="465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120265" cy="465455"/>
                    </a:xfrm>
                    <a:prstGeom prst="rect">
                      <a:avLst/>
                    </a:prstGeom>
                  </pic:spPr>
                </pic:pic>
              </a:graphicData>
            </a:graphic>
            <wp14:sizeRelH relativeFrom="margin">
              <wp14:pctWidth>0</wp14:pctWidth>
            </wp14:sizeRelH>
            <wp14:sizeRelV relativeFrom="margin">
              <wp14:pctHeight>0</wp14:pctHeight>
            </wp14:sizeRelV>
          </wp:anchor>
        </w:drawing>
      </w:r>
      <w:r w:rsidR="00266056" w:rsidRPr="0010215A">
        <w:rPr>
          <w:rFonts w:ascii="Arial" w:hAnsi="Arial" w:cs="Arial"/>
          <w:color w:val="2658A5"/>
          <w:sz w:val="48"/>
          <w:szCs w:val="48"/>
          <w:lang w:val="en-GB"/>
        </w:rPr>
        <w:t>PRESS RELEASE</w:t>
      </w:r>
    </w:p>
    <w:p w14:paraId="0022BE11" w14:textId="4FE24414" w:rsidR="003E3B85" w:rsidRPr="0010215A" w:rsidRDefault="003E3B85" w:rsidP="003E3B85">
      <w:pPr>
        <w:jc w:val="both"/>
        <w:rPr>
          <w:rFonts w:ascii="Montserrat" w:hAnsi="Montserrat"/>
          <w:sz w:val="20"/>
          <w:szCs w:val="20"/>
          <w:lang w:val="en-GB"/>
        </w:rPr>
      </w:pPr>
    </w:p>
    <w:p w14:paraId="1C17DD3C" w14:textId="77777777" w:rsidR="0010215A" w:rsidRPr="0010215A" w:rsidRDefault="0010215A" w:rsidP="0010215A">
      <w:pPr>
        <w:jc w:val="both"/>
        <w:rPr>
          <w:rFonts w:ascii="Arial" w:hAnsi="Arial" w:cs="Arial"/>
          <w:b/>
          <w:bCs/>
          <w:color w:val="2658A5"/>
          <w:sz w:val="32"/>
          <w:szCs w:val="32"/>
          <w:lang w:val="en-GB"/>
        </w:rPr>
      </w:pPr>
      <w:r w:rsidRPr="0010215A">
        <w:rPr>
          <w:rFonts w:ascii="Arial" w:hAnsi="Arial" w:cs="Arial"/>
          <w:b/>
          <w:bCs/>
          <w:color w:val="2658A5"/>
          <w:sz w:val="32"/>
          <w:szCs w:val="32"/>
          <w:lang w:val="en-GB"/>
        </w:rPr>
        <w:t>CTIA inspected sellers' obligations relating to clearance sales and discount promotions</w:t>
      </w:r>
    </w:p>
    <w:p w14:paraId="5A8F1159"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i/>
          <w:iCs/>
          <w:color w:val="000000"/>
          <w:sz w:val="20"/>
          <w:szCs w:val="20"/>
          <w:lang w:val="en-GB"/>
        </w:rPr>
        <w:t>(Final report for 2025)</w:t>
      </w:r>
    </w:p>
    <w:p w14:paraId="3D997945"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 xml:space="preserve">(Prague, 5 March, 2026) </w:t>
      </w:r>
      <w:r w:rsidRPr="0010215A">
        <w:rPr>
          <w:rFonts w:ascii="Arial" w:eastAsia="Calibri" w:hAnsi="Arial" w:cs="Arial"/>
          <w:b/>
          <w:bCs/>
          <w:color w:val="000000"/>
          <w:sz w:val="20"/>
          <w:szCs w:val="20"/>
          <w:lang w:val="en-GB"/>
        </w:rPr>
        <w:t xml:space="preserve">Over the past year, the Czech Trade Inspection Authority focused on sellers' compliance with their obligations under Act No. 634/1992 Coll. on Consumer Protection in connection with the provision of discounts when offering and selling goods. It carried out a total of 1,432 inspections within the inspection activity, and found breaches of legal regulations in 734 inspections, i.e. 51.26% of the total number of inspections carried out. </w:t>
      </w:r>
    </w:p>
    <w:p w14:paraId="43CE2229"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Inspections carried out between 2 January and 31 December 2025 targeted sellers across the retail network, including e-shops. The inspection activity aimed to verify whether sellers, when offering price reductions, inform consumers of the lowest price at which the product was offered before the reduction was applied, and whether this information is provided in compliance with legal requirements. Within the activity, the discounts on product prices were inspected to verify whether sellers calculated them correctly and sold the products in question at prices determined in this way.</w:t>
      </w:r>
    </w:p>
    <w:p w14:paraId="56014D6B"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b/>
          <w:bCs/>
          <w:color w:val="000000"/>
          <w:sz w:val="20"/>
          <w:szCs w:val="20"/>
          <w:lang w:val="en-GB"/>
        </w:rPr>
        <w:t xml:space="preserve">The most frequent finding was a breach related to the use of unfair commercial practices </w:t>
      </w:r>
      <w:r w:rsidRPr="0010215A">
        <w:rPr>
          <w:rFonts w:ascii="Arial" w:eastAsia="Calibri" w:hAnsi="Arial" w:cs="Arial"/>
          <w:color w:val="000000"/>
          <w:sz w:val="20"/>
          <w:szCs w:val="20"/>
          <w:lang w:val="en-GB"/>
        </w:rPr>
        <w:t>(</w:t>
      </w:r>
      <w:r w:rsidRPr="0010215A">
        <w:rPr>
          <w:rFonts w:ascii="Arial" w:eastAsia="Calibri" w:hAnsi="Arial" w:cs="Arial"/>
          <w:b/>
          <w:bCs/>
          <w:color w:val="000000"/>
          <w:sz w:val="20"/>
          <w:szCs w:val="20"/>
          <w:lang w:val="en-GB"/>
        </w:rPr>
        <w:t>in 368 cases</w:t>
      </w:r>
      <w:r w:rsidRPr="0010215A">
        <w:rPr>
          <w:rFonts w:ascii="Arial" w:eastAsia="Calibri" w:hAnsi="Arial" w:cs="Arial"/>
          <w:color w:val="000000"/>
          <w:sz w:val="20"/>
          <w:szCs w:val="20"/>
          <w:lang w:val="en-GB"/>
        </w:rPr>
        <w:t>), of which 140 cases involved unfair commercial practices that could mislead consumers about the price or method of calculating the price or the existence of a specific price advantage and thus influence the consumer's decision to make a purchase that they would not otherwise have made (provision of Section 4(4) in conjunction with Section 5(2)(d)).</w:t>
      </w:r>
    </w:p>
    <w:p w14:paraId="0B03E980"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 xml:space="preserve">The second most frequent finding was a breach of </w:t>
      </w:r>
      <w:r w:rsidRPr="0010215A">
        <w:rPr>
          <w:rFonts w:ascii="Arial" w:eastAsia="Calibri" w:hAnsi="Arial" w:cs="Arial"/>
          <w:b/>
          <w:bCs/>
          <w:color w:val="000000"/>
          <w:sz w:val="20"/>
          <w:szCs w:val="20"/>
          <w:lang w:val="en-GB"/>
        </w:rPr>
        <w:t>Section 12a</w:t>
      </w:r>
      <w:r w:rsidRPr="0010215A">
        <w:rPr>
          <w:rFonts w:ascii="Arial" w:eastAsia="Calibri" w:hAnsi="Arial" w:cs="Arial"/>
          <w:color w:val="000000"/>
          <w:sz w:val="20"/>
          <w:szCs w:val="20"/>
          <w:lang w:val="en-GB"/>
        </w:rPr>
        <w:t xml:space="preserve"> of the Act on Consumer Protection, consisting of an </w:t>
      </w:r>
      <w:r w:rsidRPr="0010215A">
        <w:rPr>
          <w:rFonts w:ascii="Arial" w:eastAsia="Calibri" w:hAnsi="Arial" w:cs="Arial"/>
          <w:b/>
          <w:bCs/>
          <w:color w:val="000000"/>
          <w:sz w:val="20"/>
          <w:szCs w:val="20"/>
          <w:lang w:val="en-GB"/>
        </w:rPr>
        <w:t>incorrect method used to calculate a discount</w:t>
      </w:r>
      <w:r w:rsidRPr="0010215A">
        <w:rPr>
          <w:rFonts w:ascii="Arial" w:eastAsia="Calibri" w:hAnsi="Arial" w:cs="Arial"/>
          <w:color w:val="000000"/>
          <w:sz w:val="20"/>
          <w:szCs w:val="20"/>
          <w:lang w:val="en-GB"/>
        </w:rPr>
        <w:t xml:space="preserve"> on the price of a product or failure to indicate the </w:t>
      </w:r>
      <w:r w:rsidRPr="0010215A">
        <w:rPr>
          <w:rFonts w:ascii="Arial" w:eastAsia="Calibri" w:hAnsi="Arial" w:cs="Arial"/>
          <w:b/>
          <w:bCs/>
          <w:color w:val="000000"/>
          <w:sz w:val="20"/>
          <w:szCs w:val="20"/>
          <w:lang w:val="en-GB"/>
        </w:rPr>
        <w:t>lowest price at which the product was offered and sold in the 30 days prior to the discount being granted</w:t>
      </w:r>
      <w:r w:rsidRPr="0010215A">
        <w:rPr>
          <w:rFonts w:ascii="Arial" w:eastAsia="Calibri" w:hAnsi="Arial" w:cs="Arial"/>
          <w:color w:val="000000"/>
          <w:sz w:val="20"/>
          <w:szCs w:val="20"/>
          <w:lang w:val="en-GB"/>
        </w:rPr>
        <w:t xml:space="preserve">. This obligation to notify of a discount was breached in </w:t>
      </w:r>
      <w:r w:rsidRPr="0010215A">
        <w:rPr>
          <w:rFonts w:ascii="Arial" w:eastAsia="Calibri" w:hAnsi="Arial" w:cs="Arial"/>
          <w:b/>
          <w:bCs/>
          <w:color w:val="000000"/>
          <w:sz w:val="20"/>
          <w:szCs w:val="20"/>
          <w:lang w:val="en-GB"/>
        </w:rPr>
        <w:t>324 cases.</w:t>
      </w:r>
    </w:p>
    <w:p w14:paraId="30218EFF"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An infringement of Section 3 of the Act on Consumer Protection, governing the fairness of product sales and service provision, was detected in 116 cases, of which 112 involved an infringement of Section 3(1)(c), where the prices of products sold were incorrectly billed. In 113 cases, a breach of Section 12 of the Act on Consumer Protection was found, which concerns the seller's obligation to provide information on the price of products sold or services provided in accordance with pricing regulations.</w:t>
      </w:r>
    </w:p>
    <w:p w14:paraId="127788A8"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b/>
          <w:bCs/>
          <w:color w:val="000000"/>
          <w:sz w:val="20"/>
          <w:szCs w:val="20"/>
          <w:lang w:val="en-GB"/>
        </w:rPr>
        <w:t>Breaches of other legal regulations within the supervisory authority of the CTIA were proven in 319 cases.</w:t>
      </w:r>
      <w:r w:rsidRPr="0010215A">
        <w:rPr>
          <w:rFonts w:ascii="Arial" w:eastAsia="Calibri" w:hAnsi="Arial" w:cs="Arial"/>
          <w:color w:val="000000"/>
          <w:sz w:val="20"/>
          <w:szCs w:val="20"/>
          <w:lang w:val="en-GB"/>
        </w:rPr>
        <w:t xml:space="preserve"> These included violations of the Civil Code, the Act on Inspection, the Act on End-of-Life Products, and the Act on Prices.</w:t>
      </w:r>
    </w:p>
    <w:p w14:paraId="0EC25B78"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 xml:space="preserve">It was the amendment to the Act on Prices, which became effective on 1 January 2025, that significantly strengthened the CTIA's powers </w:t>
      </w:r>
      <w:proofErr w:type="gramStart"/>
      <w:r w:rsidRPr="0010215A">
        <w:rPr>
          <w:rFonts w:ascii="Arial" w:eastAsia="Calibri" w:hAnsi="Arial" w:cs="Arial"/>
          <w:color w:val="000000"/>
          <w:sz w:val="20"/>
          <w:szCs w:val="20"/>
          <w:lang w:val="en-GB"/>
        </w:rPr>
        <w:t>in the area of</w:t>
      </w:r>
      <w:proofErr w:type="gramEnd"/>
      <w:r w:rsidRPr="0010215A">
        <w:rPr>
          <w:rFonts w:ascii="Arial" w:eastAsia="Calibri" w:hAnsi="Arial" w:cs="Arial"/>
          <w:color w:val="000000"/>
          <w:sz w:val="20"/>
          <w:szCs w:val="20"/>
          <w:lang w:val="en-GB"/>
        </w:rPr>
        <w:t xml:space="preserve"> discount inspection.</w:t>
      </w:r>
    </w:p>
    <w:p w14:paraId="513BB42E"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Based on the amendment, the CTIA has become the authority responsible for inspecting pricing records for goods subject to Section 12a of the Act on Consumer Protection. Within the inspections requiring the presentation of pricing records, 25 violations of the Act on Prices were identified.</w:t>
      </w:r>
    </w:p>
    <w:p w14:paraId="7A7C1B47" w14:textId="77777777" w:rsidR="0010215A" w:rsidRPr="0010215A" w:rsidRDefault="0010215A" w:rsidP="0010215A">
      <w:pPr>
        <w:jc w:val="both"/>
        <w:rPr>
          <w:rFonts w:ascii="Arial" w:eastAsia="Calibri" w:hAnsi="Arial" w:cs="Arial"/>
          <w:color w:val="000000"/>
          <w:sz w:val="20"/>
          <w:szCs w:val="20"/>
          <w:lang w:val="en-GB"/>
        </w:rPr>
      </w:pPr>
      <w:proofErr w:type="gramStart"/>
      <w:r w:rsidRPr="0010215A">
        <w:rPr>
          <w:rFonts w:ascii="Arial" w:eastAsia="Calibri" w:hAnsi="Arial" w:cs="Arial"/>
          <w:color w:val="000000"/>
          <w:sz w:val="20"/>
          <w:szCs w:val="20"/>
          <w:lang w:val="en-GB"/>
        </w:rPr>
        <w:t>As a consequence of</w:t>
      </w:r>
      <w:proofErr w:type="gramEnd"/>
      <w:r w:rsidRPr="0010215A">
        <w:rPr>
          <w:rFonts w:ascii="Arial" w:eastAsia="Calibri" w:hAnsi="Arial" w:cs="Arial"/>
          <w:color w:val="000000"/>
          <w:sz w:val="20"/>
          <w:szCs w:val="20"/>
          <w:lang w:val="en-GB"/>
        </w:rPr>
        <w:t xml:space="preserve"> the identified breaches of legal regulations within the surveillance scope of the Czech Trade Inspection Authority, 380 fines totalling CZK 38,661,500 became legally effective in the period from 2 January 2025 to 31 December 2025.</w:t>
      </w:r>
    </w:p>
    <w:p w14:paraId="062F7971"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 xml:space="preserve">This figure also includes the preliminary results of an </w:t>
      </w:r>
      <w:r w:rsidRPr="0010215A">
        <w:rPr>
          <w:rFonts w:ascii="Arial" w:eastAsia="Calibri" w:hAnsi="Arial" w:cs="Arial"/>
          <w:b/>
          <w:bCs/>
          <w:color w:val="000000"/>
          <w:sz w:val="20"/>
          <w:szCs w:val="20"/>
          <w:lang w:val="en-GB"/>
        </w:rPr>
        <w:t>extraordinary inspection activity</w:t>
      </w:r>
      <w:r w:rsidRPr="0010215A">
        <w:rPr>
          <w:rFonts w:ascii="Arial" w:eastAsia="Calibri" w:hAnsi="Arial" w:cs="Arial"/>
          <w:color w:val="000000"/>
          <w:sz w:val="20"/>
          <w:szCs w:val="20"/>
          <w:lang w:val="en-GB"/>
        </w:rPr>
        <w:t xml:space="preserve"> carried out between 29 October and 6 December 2025, focusing on </w:t>
      </w:r>
      <w:r w:rsidRPr="0010215A">
        <w:rPr>
          <w:rFonts w:ascii="Arial" w:eastAsia="Calibri" w:hAnsi="Arial" w:cs="Arial"/>
          <w:b/>
          <w:bCs/>
          <w:color w:val="000000"/>
          <w:sz w:val="20"/>
          <w:szCs w:val="20"/>
          <w:lang w:val="en-GB"/>
        </w:rPr>
        <w:t>discount campaigns called "Black Friday" and "Cyber Monday"</w:t>
      </w:r>
      <w:r w:rsidRPr="0010215A">
        <w:rPr>
          <w:rFonts w:ascii="Arial" w:eastAsia="Calibri" w:hAnsi="Arial" w:cs="Arial"/>
          <w:color w:val="000000"/>
          <w:sz w:val="20"/>
          <w:szCs w:val="20"/>
          <w:lang w:val="en-GB"/>
        </w:rPr>
        <w:t>.</w:t>
      </w:r>
    </w:p>
    <w:p w14:paraId="6652A742"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lastRenderedPageBreak/>
        <w:t>Within their inspections of e-shops and ordinary shops, CTIA officers focused primarily on the compliance with the legal obligation to indicate the lowest price at which the product was offered and sold in the last 30 days prior to the discount being applied. The results of the inspections completed so far show that 108 inspections were carried out within the campaign, of which 38 found breaches of legal regulations. Breaches of Section 12a of the Act on Consumer Protection were found in 12 cases. Unfair commercial practices were proven in a total of 23 cases, and in 9 cases in connection with pricing.</w:t>
      </w:r>
    </w:p>
    <w:p w14:paraId="0BE78C8F"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The results of the inspections show that, despite extensive inspection activities, sellers still fail to comply with their legal obligations, particularly in relation to the transparent display of the lowest price (failure to provide information on the lowest price at which the seller offered and sold the product in the 30 days before the discount) and the presentation of discounts or other price advantages.</w:t>
      </w:r>
    </w:p>
    <w:p w14:paraId="4D080DE9"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During the year, inspections repeatedly found that some retailers had presented products as discounted for several months, which can no longer be considered a real discount. A discount is a time-limited promotion lasting for a shorter period. Such long-term "discounts" or vaguely worded price advantages give consumers the impression that they can get something exclusive or time-limited, when in fact it is often just the regular price presented as a bargain.</w:t>
      </w:r>
    </w:p>
    <w:p w14:paraId="490A73D1"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At the same time, retailers have focused more on communicating price advantages other than the discount within the meaning of Section 12a of the Act on Consumer Protection. They have increasingly begun using colours on price tags and other messages, such as "Save 50%," "SUPER price," "price with app," and "the manufacturer's recommended price." This is an attempt to bypass the obligation to inform consumers about the lowest price in the last 30 days, while creating the impression that the price offered is exceptionally advantageous, even though it may not actually represent a real saving. These practices have a significant impact on consumer decision-making.</w:t>
      </w:r>
    </w:p>
    <w:p w14:paraId="310A0067" w14:textId="77777777" w:rsidR="0010215A" w:rsidRPr="0010215A" w:rsidRDefault="0010215A" w:rsidP="0010215A">
      <w:pPr>
        <w:jc w:val="both"/>
        <w:rPr>
          <w:rFonts w:ascii="Arial" w:eastAsia="Calibri" w:hAnsi="Arial" w:cs="Arial"/>
          <w:color w:val="000000"/>
          <w:sz w:val="20"/>
          <w:szCs w:val="20"/>
          <w:lang w:val="en-GB"/>
        </w:rPr>
      </w:pPr>
      <w:r w:rsidRPr="0010215A">
        <w:rPr>
          <w:rFonts w:ascii="Arial" w:eastAsia="Calibri" w:hAnsi="Arial" w:cs="Arial"/>
          <w:color w:val="000000"/>
          <w:sz w:val="20"/>
          <w:szCs w:val="20"/>
          <w:lang w:val="en-GB"/>
        </w:rPr>
        <w:t>The Czech Trade Inspection Authority will continue to closely monitor sellers' compliance with their obligations when offering discounts on product prices in the coming period.</w:t>
      </w:r>
    </w:p>
    <w:p w14:paraId="559321EF" w14:textId="2FAD07FA" w:rsidR="00E92D5A" w:rsidRPr="0010215A" w:rsidRDefault="00E92D5A" w:rsidP="00E92D5A">
      <w:pPr>
        <w:jc w:val="both"/>
        <w:rPr>
          <w:rFonts w:ascii="Arial" w:eastAsia="Calibri" w:hAnsi="Arial" w:cs="Arial"/>
          <w:color w:val="000000"/>
          <w:sz w:val="20"/>
          <w:szCs w:val="20"/>
          <w:lang w:val="en-GB"/>
        </w:rPr>
      </w:pPr>
    </w:p>
    <w:sectPr w:rsidR="00E92D5A" w:rsidRPr="0010215A"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2C07" w14:textId="77777777" w:rsidR="005B15CF" w:rsidRDefault="005B15CF" w:rsidP="00807D68">
      <w:pPr>
        <w:spacing w:after="0" w:line="240" w:lineRule="auto"/>
      </w:pPr>
      <w:r>
        <w:separator/>
      </w:r>
    </w:p>
  </w:endnote>
  <w:endnote w:type="continuationSeparator" w:id="0">
    <w:p w14:paraId="5EA3656C" w14:textId="77777777" w:rsidR="005B15CF" w:rsidRDefault="005B15CF"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03E3" w14:textId="77777777" w:rsidR="00287B8E" w:rsidRPr="000B3C18" w:rsidRDefault="00287B8E" w:rsidP="00287B8E">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493AF5E8" wp14:editId="75F89933">
              <wp:simplePos x="0" y="0"/>
              <wp:positionH relativeFrom="column">
                <wp:posOffset>3472180</wp:posOffset>
              </wp:positionH>
              <wp:positionV relativeFrom="paragraph">
                <wp:posOffset>10160</wp:posOffset>
              </wp:positionV>
              <wp:extent cx="2361564" cy="653414"/>
              <wp:effectExtent l="0" t="0" r="1270" b="127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66E275F3" w14:textId="77777777" w:rsidR="00287B8E" w:rsidRPr="00EC65D4" w:rsidRDefault="00287B8E" w:rsidP="00287B8E">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93AF5E8" id="_x0000_t202" coordsize="21600,21600" o:spt="202" path="m,l,21600r21600,l21600,xe">
              <v:stroke joinstyle="miter"/>
              <v:path gradientshapeok="t" o:connecttype="rect"/>
            </v:shapetype>
            <v:shape id="Textové pole 2" o:spid="_x0000_s1026"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" stroked="f">
              <v:textbox style="mso-fit-shape-to-text:t">
                <w:txbxContent>
                  <w:p w14:paraId="66E275F3" w14:textId="77777777" w:rsidR="00287B8E" w:rsidRPr="00EC65D4" w:rsidRDefault="00287B8E" w:rsidP="00287B8E">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5D1A2426" wp14:editId="4EE9B1ED">
              <wp:simplePos x="0" y="0"/>
              <wp:positionH relativeFrom="column">
                <wp:posOffset>-109220</wp:posOffset>
              </wp:positionH>
              <wp:positionV relativeFrom="paragraph">
                <wp:posOffset>7620</wp:posOffset>
              </wp:positionV>
              <wp:extent cx="2085975" cy="1404620"/>
              <wp:effectExtent l="0" t="0" r="9525" b="952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18D3E8DC" w14:textId="77777777" w:rsidR="00287B8E" w:rsidRPr="00DC6D14" w:rsidRDefault="00287B8E" w:rsidP="00287B8E">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1A2426" id="_x0000_s1027" type="#_x0000_t202" style="position:absolute;left:0;text-align:left;margin-left:-8.6pt;margin-top:.6pt;width:164.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" stroked="f">
              <v:textbox style="mso-fit-shape-to-text:t">
                <w:txbxContent>
                  <w:p w14:paraId="18D3E8DC" w14:textId="77777777" w:rsidR="00287B8E" w:rsidRPr="00DC6D14" w:rsidRDefault="00287B8E" w:rsidP="00287B8E">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v:textbox>
            </v:shape>
          </w:pict>
        </mc:Fallback>
      </mc:AlternateContent>
    </w:r>
  </w:p>
  <w:p w14:paraId="2E86EAD4" w14:textId="77777777" w:rsidR="00F34A6A" w:rsidRPr="00287B8E" w:rsidRDefault="00F34A6A" w:rsidP="00287B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7731" w14:textId="77777777" w:rsidR="005B15CF" w:rsidRDefault="005B15CF" w:rsidP="00807D68">
      <w:pPr>
        <w:spacing w:after="0" w:line="240" w:lineRule="auto"/>
      </w:pPr>
      <w:r>
        <w:separator/>
      </w:r>
    </w:p>
  </w:footnote>
  <w:footnote w:type="continuationSeparator" w:id="0">
    <w:p w14:paraId="7BD6FBB1" w14:textId="77777777" w:rsidR="005B15CF" w:rsidRDefault="005B15CF"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2"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4"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5"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6"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7" w15:restartNumberingAfterBreak="0">
    <w:nsid w:val="58E46094"/>
    <w:multiLevelType w:val="hybridMultilevel"/>
    <w:tmpl w:val="0666F1F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8"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004778"/>
    <w:multiLevelType w:val="hybridMultilevel"/>
    <w:tmpl w:val="F41A51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5675377">
    <w:abstractNumId w:val="0"/>
  </w:num>
  <w:num w:numId="2" w16cid:durableId="1389576267">
    <w:abstractNumId w:val="8"/>
  </w:num>
  <w:num w:numId="3" w16cid:durableId="1231773574">
    <w:abstractNumId w:val="3"/>
  </w:num>
  <w:num w:numId="4" w16cid:durableId="709764152">
    <w:abstractNumId w:val="10"/>
  </w:num>
  <w:num w:numId="5" w16cid:durableId="871960081">
    <w:abstractNumId w:val="11"/>
  </w:num>
  <w:num w:numId="6" w16cid:durableId="239340076">
    <w:abstractNumId w:val="5"/>
  </w:num>
  <w:num w:numId="7" w16cid:durableId="402494">
    <w:abstractNumId w:val="4"/>
  </w:num>
  <w:num w:numId="8" w16cid:durableId="1923176847">
    <w:abstractNumId w:val="1"/>
  </w:num>
  <w:num w:numId="9" w16cid:durableId="1042755895">
    <w:abstractNumId w:val="6"/>
  </w:num>
  <w:num w:numId="10" w16cid:durableId="427504967">
    <w:abstractNumId w:val="2"/>
  </w:num>
  <w:num w:numId="11" w16cid:durableId="1944067431">
    <w:abstractNumId w:val="7"/>
  </w:num>
  <w:num w:numId="12" w16cid:durableId="1273900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3292"/>
    <w:rsid w:val="00007B29"/>
    <w:rsid w:val="00025AC8"/>
    <w:rsid w:val="00045AD0"/>
    <w:rsid w:val="000537D7"/>
    <w:rsid w:val="00056E6A"/>
    <w:rsid w:val="000741E3"/>
    <w:rsid w:val="000803D8"/>
    <w:rsid w:val="0009503C"/>
    <w:rsid w:val="000A00D3"/>
    <w:rsid w:val="000B3C18"/>
    <w:rsid w:val="000B3ECB"/>
    <w:rsid w:val="000C03BE"/>
    <w:rsid w:val="000E2C64"/>
    <w:rsid w:val="00100F88"/>
    <w:rsid w:val="0010215A"/>
    <w:rsid w:val="0010721B"/>
    <w:rsid w:val="0011792F"/>
    <w:rsid w:val="00142850"/>
    <w:rsid w:val="00143E7B"/>
    <w:rsid w:val="001472E1"/>
    <w:rsid w:val="00152827"/>
    <w:rsid w:val="00161949"/>
    <w:rsid w:val="00162432"/>
    <w:rsid w:val="00167F18"/>
    <w:rsid w:val="00173F4D"/>
    <w:rsid w:val="00175775"/>
    <w:rsid w:val="00192BDE"/>
    <w:rsid w:val="001A706D"/>
    <w:rsid w:val="001B3016"/>
    <w:rsid w:val="001C26F7"/>
    <w:rsid w:val="001C38DE"/>
    <w:rsid w:val="001D0E07"/>
    <w:rsid w:val="001D158E"/>
    <w:rsid w:val="001D5235"/>
    <w:rsid w:val="001E4127"/>
    <w:rsid w:val="001E6858"/>
    <w:rsid w:val="001E6864"/>
    <w:rsid w:val="001F158B"/>
    <w:rsid w:val="001F70DF"/>
    <w:rsid w:val="002008FE"/>
    <w:rsid w:val="002012CC"/>
    <w:rsid w:val="00215AC9"/>
    <w:rsid w:val="0021653B"/>
    <w:rsid w:val="00225F02"/>
    <w:rsid w:val="00241509"/>
    <w:rsid w:val="0026408B"/>
    <w:rsid w:val="00266056"/>
    <w:rsid w:val="002726E7"/>
    <w:rsid w:val="00273118"/>
    <w:rsid w:val="0027431F"/>
    <w:rsid w:val="00287B8E"/>
    <w:rsid w:val="002920C0"/>
    <w:rsid w:val="002A33F3"/>
    <w:rsid w:val="002A60D0"/>
    <w:rsid w:val="002B7C92"/>
    <w:rsid w:val="002C050A"/>
    <w:rsid w:val="002C2749"/>
    <w:rsid w:val="002F11A1"/>
    <w:rsid w:val="002F20E5"/>
    <w:rsid w:val="00314DCA"/>
    <w:rsid w:val="00320321"/>
    <w:rsid w:val="003316B0"/>
    <w:rsid w:val="00331CA6"/>
    <w:rsid w:val="00332038"/>
    <w:rsid w:val="00347084"/>
    <w:rsid w:val="00350179"/>
    <w:rsid w:val="00351811"/>
    <w:rsid w:val="00351DAF"/>
    <w:rsid w:val="00361995"/>
    <w:rsid w:val="00363379"/>
    <w:rsid w:val="00367F06"/>
    <w:rsid w:val="00373649"/>
    <w:rsid w:val="0037728A"/>
    <w:rsid w:val="00394455"/>
    <w:rsid w:val="003A2F6D"/>
    <w:rsid w:val="003D1767"/>
    <w:rsid w:val="003E3B85"/>
    <w:rsid w:val="003F2528"/>
    <w:rsid w:val="00432202"/>
    <w:rsid w:val="00432A70"/>
    <w:rsid w:val="0043419B"/>
    <w:rsid w:val="0046373B"/>
    <w:rsid w:val="00466260"/>
    <w:rsid w:val="00484731"/>
    <w:rsid w:val="00487415"/>
    <w:rsid w:val="00493D8C"/>
    <w:rsid w:val="00494584"/>
    <w:rsid w:val="00494ACB"/>
    <w:rsid w:val="00495788"/>
    <w:rsid w:val="0049637D"/>
    <w:rsid w:val="004C563F"/>
    <w:rsid w:val="004F3AA9"/>
    <w:rsid w:val="00526090"/>
    <w:rsid w:val="0052640B"/>
    <w:rsid w:val="00532825"/>
    <w:rsid w:val="00540278"/>
    <w:rsid w:val="00541FB6"/>
    <w:rsid w:val="0054677C"/>
    <w:rsid w:val="005545CE"/>
    <w:rsid w:val="00557B14"/>
    <w:rsid w:val="005702A5"/>
    <w:rsid w:val="00572CFD"/>
    <w:rsid w:val="00574953"/>
    <w:rsid w:val="00577B57"/>
    <w:rsid w:val="005837B9"/>
    <w:rsid w:val="0059117C"/>
    <w:rsid w:val="005923C5"/>
    <w:rsid w:val="00592C1D"/>
    <w:rsid w:val="005A0FA4"/>
    <w:rsid w:val="005A2DEE"/>
    <w:rsid w:val="005A3A49"/>
    <w:rsid w:val="005A3D57"/>
    <w:rsid w:val="005B15CF"/>
    <w:rsid w:val="005B2A55"/>
    <w:rsid w:val="005B408C"/>
    <w:rsid w:val="005C435F"/>
    <w:rsid w:val="005D105B"/>
    <w:rsid w:val="005E3D23"/>
    <w:rsid w:val="005E3D51"/>
    <w:rsid w:val="005F0256"/>
    <w:rsid w:val="005F2E97"/>
    <w:rsid w:val="005F540D"/>
    <w:rsid w:val="005F776A"/>
    <w:rsid w:val="005F7F53"/>
    <w:rsid w:val="00600062"/>
    <w:rsid w:val="00600999"/>
    <w:rsid w:val="0060731F"/>
    <w:rsid w:val="0061127C"/>
    <w:rsid w:val="00616251"/>
    <w:rsid w:val="0062723D"/>
    <w:rsid w:val="00636F70"/>
    <w:rsid w:val="00653A86"/>
    <w:rsid w:val="00654BBA"/>
    <w:rsid w:val="00656822"/>
    <w:rsid w:val="00663804"/>
    <w:rsid w:val="00663C7B"/>
    <w:rsid w:val="00667CA9"/>
    <w:rsid w:val="00680E41"/>
    <w:rsid w:val="00681DA5"/>
    <w:rsid w:val="006957ED"/>
    <w:rsid w:val="006C7A08"/>
    <w:rsid w:val="006D428D"/>
    <w:rsid w:val="006E3BFD"/>
    <w:rsid w:val="006E4666"/>
    <w:rsid w:val="006E7AF6"/>
    <w:rsid w:val="006F6413"/>
    <w:rsid w:val="0070124B"/>
    <w:rsid w:val="00705A70"/>
    <w:rsid w:val="00707A44"/>
    <w:rsid w:val="00713366"/>
    <w:rsid w:val="0072332D"/>
    <w:rsid w:val="0073117A"/>
    <w:rsid w:val="00735C36"/>
    <w:rsid w:val="00741FEA"/>
    <w:rsid w:val="0074340E"/>
    <w:rsid w:val="00751AA2"/>
    <w:rsid w:val="00752488"/>
    <w:rsid w:val="0075374E"/>
    <w:rsid w:val="00771930"/>
    <w:rsid w:val="00774999"/>
    <w:rsid w:val="00780CFF"/>
    <w:rsid w:val="00787B23"/>
    <w:rsid w:val="00797487"/>
    <w:rsid w:val="007C3195"/>
    <w:rsid w:val="007C40CF"/>
    <w:rsid w:val="007D088B"/>
    <w:rsid w:val="007E237F"/>
    <w:rsid w:val="007E4F0B"/>
    <w:rsid w:val="008078D2"/>
    <w:rsid w:val="00807D68"/>
    <w:rsid w:val="0081160A"/>
    <w:rsid w:val="0081271E"/>
    <w:rsid w:val="00820008"/>
    <w:rsid w:val="00820628"/>
    <w:rsid w:val="008356AE"/>
    <w:rsid w:val="0084569F"/>
    <w:rsid w:val="00862CB6"/>
    <w:rsid w:val="008632A4"/>
    <w:rsid w:val="00863463"/>
    <w:rsid w:val="00867DDD"/>
    <w:rsid w:val="00867FE0"/>
    <w:rsid w:val="00872110"/>
    <w:rsid w:val="0087218C"/>
    <w:rsid w:val="008764A5"/>
    <w:rsid w:val="00885497"/>
    <w:rsid w:val="008865ED"/>
    <w:rsid w:val="00890135"/>
    <w:rsid w:val="0089254F"/>
    <w:rsid w:val="008D0EB8"/>
    <w:rsid w:val="008D58EF"/>
    <w:rsid w:val="008E048A"/>
    <w:rsid w:val="008F22C0"/>
    <w:rsid w:val="009023B0"/>
    <w:rsid w:val="0090767D"/>
    <w:rsid w:val="00917CF5"/>
    <w:rsid w:val="0092339C"/>
    <w:rsid w:val="009266E9"/>
    <w:rsid w:val="009418B2"/>
    <w:rsid w:val="00953EF6"/>
    <w:rsid w:val="00955DA0"/>
    <w:rsid w:val="00963E3E"/>
    <w:rsid w:val="0097002E"/>
    <w:rsid w:val="00970F06"/>
    <w:rsid w:val="00971704"/>
    <w:rsid w:val="00972523"/>
    <w:rsid w:val="0098033A"/>
    <w:rsid w:val="00987BA8"/>
    <w:rsid w:val="00994318"/>
    <w:rsid w:val="009A419B"/>
    <w:rsid w:val="009A7490"/>
    <w:rsid w:val="009C191D"/>
    <w:rsid w:val="009C6AFE"/>
    <w:rsid w:val="009E32D6"/>
    <w:rsid w:val="009F1822"/>
    <w:rsid w:val="009F2D9C"/>
    <w:rsid w:val="009F4279"/>
    <w:rsid w:val="00A04DA8"/>
    <w:rsid w:val="00A13513"/>
    <w:rsid w:val="00A14E7B"/>
    <w:rsid w:val="00A161BD"/>
    <w:rsid w:val="00A36B0E"/>
    <w:rsid w:val="00A51854"/>
    <w:rsid w:val="00A54485"/>
    <w:rsid w:val="00A54C8E"/>
    <w:rsid w:val="00A57931"/>
    <w:rsid w:val="00A64DC1"/>
    <w:rsid w:val="00A66848"/>
    <w:rsid w:val="00A81783"/>
    <w:rsid w:val="00A92DB6"/>
    <w:rsid w:val="00A93B4E"/>
    <w:rsid w:val="00A95A44"/>
    <w:rsid w:val="00AD2EE9"/>
    <w:rsid w:val="00AF5C19"/>
    <w:rsid w:val="00AF6C9F"/>
    <w:rsid w:val="00B0403D"/>
    <w:rsid w:val="00B04C40"/>
    <w:rsid w:val="00B05C63"/>
    <w:rsid w:val="00B12DB0"/>
    <w:rsid w:val="00B205BA"/>
    <w:rsid w:val="00B20F24"/>
    <w:rsid w:val="00B31AF6"/>
    <w:rsid w:val="00B35984"/>
    <w:rsid w:val="00B35D98"/>
    <w:rsid w:val="00B37AAB"/>
    <w:rsid w:val="00B40171"/>
    <w:rsid w:val="00B44F4B"/>
    <w:rsid w:val="00B473BD"/>
    <w:rsid w:val="00B525B4"/>
    <w:rsid w:val="00B553B1"/>
    <w:rsid w:val="00B97A9C"/>
    <w:rsid w:val="00BA1045"/>
    <w:rsid w:val="00BD02A1"/>
    <w:rsid w:val="00BE29F2"/>
    <w:rsid w:val="00BE7A21"/>
    <w:rsid w:val="00BF40BB"/>
    <w:rsid w:val="00BF5CA1"/>
    <w:rsid w:val="00BF7B7B"/>
    <w:rsid w:val="00C06823"/>
    <w:rsid w:val="00C21585"/>
    <w:rsid w:val="00C241B4"/>
    <w:rsid w:val="00C346F1"/>
    <w:rsid w:val="00C35B14"/>
    <w:rsid w:val="00C41758"/>
    <w:rsid w:val="00C43D14"/>
    <w:rsid w:val="00C4704F"/>
    <w:rsid w:val="00C53772"/>
    <w:rsid w:val="00C6550F"/>
    <w:rsid w:val="00C70F51"/>
    <w:rsid w:val="00C72655"/>
    <w:rsid w:val="00C85899"/>
    <w:rsid w:val="00C92240"/>
    <w:rsid w:val="00C937E8"/>
    <w:rsid w:val="00C9701C"/>
    <w:rsid w:val="00C97D46"/>
    <w:rsid w:val="00CC49A8"/>
    <w:rsid w:val="00CD11D7"/>
    <w:rsid w:val="00CE40CA"/>
    <w:rsid w:val="00CE7269"/>
    <w:rsid w:val="00CF6F01"/>
    <w:rsid w:val="00D00046"/>
    <w:rsid w:val="00D03238"/>
    <w:rsid w:val="00D032D5"/>
    <w:rsid w:val="00D100A7"/>
    <w:rsid w:val="00D11252"/>
    <w:rsid w:val="00D13339"/>
    <w:rsid w:val="00D16725"/>
    <w:rsid w:val="00D2107A"/>
    <w:rsid w:val="00D230ED"/>
    <w:rsid w:val="00D329DD"/>
    <w:rsid w:val="00D33380"/>
    <w:rsid w:val="00D438BE"/>
    <w:rsid w:val="00D54C32"/>
    <w:rsid w:val="00D66CD2"/>
    <w:rsid w:val="00D740FF"/>
    <w:rsid w:val="00D763A0"/>
    <w:rsid w:val="00D806B7"/>
    <w:rsid w:val="00D82F55"/>
    <w:rsid w:val="00D8316C"/>
    <w:rsid w:val="00D966A5"/>
    <w:rsid w:val="00DA113C"/>
    <w:rsid w:val="00DB2730"/>
    <w:rsid w:val="00DC3F07"/>
    <w:rsid w:val="00DC5B7E"/>
    <w:rsid w:val="00DE66EF"/>
    <w:rsid w:val="00DF4E85"/>
    <w:rsid w:val="00E01D17"/>
    <w:rsid w:val="00E17BF0"/>
    <w:rsid w:val="00E27FB5"/>
    <w:rsid w:val="00E53779"/>
    <w:rsid w:val="00E561BC"/>
    <w:rsid w:val="00E64BC8"/>
    <w:rsid w:val="00E90D9C"/>
    <w:rsid w:val="00E92D5A"/>
    <w:rsid w:val="00E9513F"/>
    <w:rsid w:val="00EA1C2C"/>
    <w:rsid w:val="00EA1D75"/>
    <w:rsid w:val="00EA30CC"/>
    <w:rsid w:val="00EA350F"/>
    <w:rsid w:val="00EA39B4"/>
    <w:rsid w:val="00EA4070"/>
    <w:rsid w:val="00EB6C69"/>
    <w:rsid w:val="00EC225A"/>
    <w:rsid w:val="00EC4680"/>
    <w:rsid w:val="00ED4CDF"/>
    <w:rsid w:val="00ED59F7"/>
    <w:rsid w:val="00EF3E1F"/>
    <w:rsid w:val="00EF59B9"/>
    <w:rsid w:val="00F168AF"/>
    <w:rsid w:val="00F30AD9"/>
    <w:rsid w:val="00F34A6A"/>
    <w:rsid w:val="00F4039A"/>
    <w:rsid w:val="00F42C74"/>
    <w:rsid w:val="00F44180"/>
    <w:rsid w:val="00F4644A"/>
    <w:rsid w:val="00F50FE8"/>
    <w:rsid w:val="00F51690"/>
    <w:rsid w:val="00F53C17"/>
    <w:rsid w:val="00F55D33"/>
    <w:rsid w:val="00F70689"/>
    <w:rsid w:val="00F70880"/>
    <w:rsid w:val="00FB39B8"/>
    <w:rsid w:val="00FB65AE"/>
    <w:rsid w:val="00FD0861"/>
    <w:rsid w:val="00FD185E"/>
    <w:rsid w:val="00FF1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574953"/>
    <w:pPr>
      <w:spacing w:after="0" w:line="240" w:lineRule="auto"/>
    </w:pPr>
  </w:style>
  <w:style w:type="paragraph" w:styleId="Prosttext">
    <w:name w:val="Plain Text"/>
    <w:basedOn w:val="Normln"/>
    <w:link w:val="ProsttextChar"/>
    <w:uiPriority w:val="99"/>
    <w:unhideWhenUsed/>
    <w:rsid w:val="00FD185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FD185E"/>
    <w:rPr>
      <w:rFonts w:ascii="Calibri" w:eastAsia="Calibri" w:hAnsi="Calibri" w:cs="Times New Roman"/>
      <w:szCs w:val="21"/>
    </w:rPr>
  </w:style>
  <w:style w:type="character" w:styleId="Odkaznakoment">
    <w:name w:val="annotation reference"/>
    <w:basedOn w:val="Standardnpsmoodstavce"/>
    <w:uiPriority w:val="99"/>
    <w:semiHidden/>
    <w:unhideWhenUsed/>
    <w:rsid w:val="009A419B"/>
    <w:rPr>
      <w:sz w:val="16"/>
      <w:szCs w:val="16"/>
    </w:rPr>
  </w:style>
  <w:style w:type="paragraph" w:styleId="Textkomente">
    <w:name w:val="annotation text"/>
    <w:basedOn w:val="Normln"/>
    <w:link w:val="TextkomenteChar"/>
    <w:uiPriority w:val="99"/>
    <w:unhideWhenUsed/>
    <w:rsid w:val="009A419B"/>
    <w:pPr>
      <w:spacing w:line="240" w:lineRule="auto"/>
    </w:pPr>
    <w:rPr>
      <w:sz w:val="20"/>
      <w:szCs w:val="20"/>
    </w:rPr>
  </w:style>
  <w:style w:type="character" w:customStyle="1" w:styleId="TextkomenteChar">
    <w:name w:val="Text komentáře Char"/>
    <w:basedOn w:val="Standardnpsmoodstavce"/>
    <w:link w:val="Textkomente"/>
    <w:uiPriority w:val="99"/>
    <w:rsid w:val="009A419B"/>
    <w:rPr>
      <w:sz w:val="20"/>
      <w:szCs w:val="20"/>
    </w:rPr>
  </w:style>
  <w:style w:type="paragraph" w:styleId="Pedmtkomente">
    <w:name w:val="annotation subject"/>
    <w:basedOn w:val="Textkomente"/>
    <w:next w:val="Textkomente"/>
    <w:link w:val="PedmtkomenteChar"/>
    <w:uiPriority w:val="99"/>
    <w:semiHidden/>
    <w:unhideWhenUsed/>
    <w:rsid w:val="009A419B"/>
    <w:rPr>
      <w:b/>
      <w:bCs/>
    </w:rPr>
  </w:style>
  <w:style w:type="character" w:customStyle="1" w:styleId="PedmtkomenteChar">
    <w:name w:val="Předmět komentáře Char"/>
    <w:basedOn w:val="TextkomenteChar"/>
    <w:link w:val="Pedmtkomente"/>
    <w:uiPriority w:val="99"/>
    <w:semiHidden/>
    <w:rsid w:val="009A419B"/>
    <w:rPr>
      <w:b/>
      <w:bCs/>
      <w:sz w:val="20"/>
      <w:szCs w:val="20"/>
    </w:rPr>
  </w:style>
  <w:style w:type="character" w:styleId="Siln">
    <w:name w:val="Strong"/>
    <w:basedOn w:val="Standardnpsmoodstavce"/>
    <w:uiPriority w:val="22"/>
    <w:qFormat/>
    <w:rsid w:val="00EC4680"/>
    <w:rPr>
      <w:b/>
      <w:bCs/>
    </w:rPr>
  </w:style>
  <w:style w:type="character" w:customStyle="1" w:styleId="relative">
    <w:name w:val="relative"/>
    <w:basedOn w:val="Standardnpsmoodstavce"/>
    <w:rsid w:val="00EC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0927">
      <w:bodyDiv w:val="1"/>
      <w:marLeft w:val="0"/>
      <w:marRight w:val="0"/>
      <w:marTop w:val="0"/>
      <w:marBottom w:val="0"/>
      <w:divBdr>
        <w:top w:val="none" w:sz="0" w:space="0" w:color="auto"/>
        <w:left w:val="none" w:sz="0" w:space="0" w:color="auto"/>
        <w:bottom w:val="none" w:sz="0" w:space="0" w:color="auto"/>
        <w:right w:val="none" w:sz="0" w:space="0" w:color="auto"/>
      </w:divBdr>
    </w:div>
    <w:div w:id="634258281">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29579404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15696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871</Words>
  <Characters>5142</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5</cp:revision>
  <cp:lastPrinted>2025-04-03T06:56:00Z</cp:lastPrinted>
  <dcterms:created xsi:type="dcterms:W3CDTF">2026-03-05T08:45:00Z</dcterms:created>
  <dcterms:modified xsi:type="dcterms:W3CDTF">2026-03-10T21:41:00Z</dcterms:modified>
</cp:coreProperties>
</file>