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C458" w14:textId="57D84236" w:rsidR="003E3B85" w:rsidRPr="00CE0230" w:rsidRDefault="003E3B85" w:rsidP="003E3B85">
      <w:pPr>
        <w:spacing w:before="240"/>
        <w:jc w:val="right"/>
        <w:rPr>
          <w:rFonts w:ascii="Arial" w:hAnsi="Arial" w:cs="Arial"/>
          <w:color w:val="2658A5"/>
          <w:sz w:val="48"/>
          <w:szCs w:val="48"/>
          <w:lang w:val="en-GB"/>
        </w:rPr>
      </w:pPr>
      <w:r w:rsidRPr="00CE0230">
        <w:rPr>
          <w:rFonts w:ascii="Arial" w:hAnsi="Arial" w:cs="Arial"/>
          <w:color w:val="2658A5"/>
          <w:sz w:val="48"/>
          <w:szCs w:val="48"/>
          <w:lang w:val="en-GB" w:eastAsia="cs-CZ"/>
        </w:rPr>
        <w:drawing>
          <wp:anchor distT="0" distB="0" distL="114300" distR="114300" simplePos="0" relativeHeight="251659264" behindDoc="1" locked="0" layoutInCell="1" allowOverlap="1" wp14:anchorId="17E71488" wp14:editId="74A80BE3">
            <wp:simplePos x="0" y="0"/>
            <wp:positionH relativeFrom="margin">
              <wp:posOffset>-39757</wp:posOffset>
            </wp:positionH>
            <wp:positionV relativeFrom="margin">
              <wp:posOffset>93593</wp:posOffset>
            </wp:positionV>
            <wp:extent cx="2120265" cy="46545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2120265" cy="465455"/>
                    </a:xfrm>
                    <a:prstGeom prst="rect">
                      <a:avLst/>
                    </a:prstGeom>
                  </pic:spPr>
                </pic:pic>
              </a:graphicData>
            </a:graphic>
            <wp14:sizeRelH relativeFrom="margin">
              <wp14:pctWidth>0</wp14:pctWidth>
            </wp14:sizeRelH>
            <wp14:sizeRelV relativeFrom="margin">
              <wp14:pctHeight>0</wp14:pctHeight>
            </wp14:sizeRelV>
          </wp:anchor>
        </w:drawing>
      </w:r>
      <w:r w:rsidR="00665442" w:rsidRPr="00CE0230">
        <w:rPr>
          <w:rFonts w:ascii="Arial" w:hAnsi="Arial" w:cs="Arial"/>
          <w:color w:val="2658A5"/>
          <w:sz w:val="48"/>
          <w:szCs w:val="48"/>
          <w:lang w:val="en-GB"/>
        </w:rPr>
        <w:t>PRESS RELEASE</w:t>
      </w:r>
    </w:p>
    <w:p w14:paraId="0022BE11" w14:textId="4FE24414" w:rsidR="003E3B85" w:rsidRPr="00CE0230" w:rsidRDefault="003E3B85" w:rsidP="003E3B85">
      <w:pPr>
        <w:jc w:val="both"/>
        <w:rPr>
          <w:rFonts w:ascii="Montserrat" w:hAnsi="Montserrat"/>
          <w:sz w:val="20"/>
          <w:szCs w:val="20"/>
          <w:lang w:val="en-GB"/>
        </w:rPr>
      </w:pPr>
    </w:p>
    <w:p w14:paraId="1F4C0CE3" w14:textId="77777777" w:rsidR="00CE0230" w:rsidRPr="00CE0230" w:rsidRDefault="00CE0230" w:rsidP="00CE0230">
      <w:pPr>
        <w:pStyle w:val="Default"/>
        <w:spacing w:after="200"/>
        <w:jc w:val="both"/>
        <w:rPr>
          <w:rFonts w:eastAsiaTheme="minorHAnsi"/>
          <w:b/>
          <w:bCs/>
          <w:color w:val="2658A5"/>
          <w:sz w:val="32"/>
          <w:szCs w:val="32"/>
          <w:lang w:val="en-GB"/>
        </w:rPr>
      </w:pPr>
      <w:r w:rsidRPr="00CE0230">
        <w:rPr>
          <w:rFonts w:eastAsiaTheme="minorHAnsi"/>
          <w:b/>
          <w:bCs/>
          <w:color w:val="2658A5"/>
          <w:sz w:val="32"/>
          <w:szCs w:val="32"/>
          <w:lang w:val="en-GB"/>
        </w:rPr>
        <w:t>CTIA inspected the compliance with the ban on the sale of alcohol and tobacco to minors. It found non-compliance in nearly half of the inspections</w:t>
      </w:r>
    </w:p>
    <w:p w14:paraId="43972087" w14:textId="77777777" w:rsidR="00CE0230" w:rsidRPr="00CE0230" w:rsidRDefault="00CE0230" w:rsidP="00CE0230">
      <w:pPr>
        <w:pStyle w:val="Default"/>
        <w:spacing w:after="200"/>
        <w:jc w:val="both"/>
        <w:rPr>
          <w:sz w:val="20"/>
          <w:szCs w:val="20"/>
          <w:lang w:val="en-GB"/>
        </w:rPr>
      </w:pPr>
      <w:r w:rsidRPr="00CE0230">
        <w:rPr>
          <w:i/>
          <w:iCs/>
          <w:sz w:val="20"/>
          <w:szCs w:val="20"/>
          <w:lang w:val="en-GB"/>
        </w:rPr>
        <w:t>(Final Report for 2025)</w:t>
      </w:r>
    </w:p>
    <w:p w14:paraId="17C7C080" w14:textId="46672603" w:rsidR="00CE0230" w:rsidRPr="00CE0230" w:rsidRDefault="00CE0230" w:rsidP="00CE0230">
      <w:pPr>
        <w:pStyle w:val="Default"/>
        <w:spacing w:after="200"/>
        <w:jc w:val="both"/>
        <w:rPr>
          <w:sz w:val="20"/>
          <w:szCs w:val="20"/>
          <w:lang w:val="en-GB"/>
        </w:rPr>
      </w:pPr>
      <w:r w:rsidRPr="00CE0230">
        <w:rPr>
          <w:sz w:val="20"/>
          <w:szCs w:val="20"/>
          <w:lang w:val="en-GB"/>
        </w:rPr>
        <w:t xml:space="preserve">(Prague, March 18, 2026) </w:t>
      </w:r>
      <w:r w:rsidRPr="00CE0230">
        <w:rPr>
          <w:b/>
          <w:bCs/>
          <w:sz w:val="20"/>
          <w:szCs w:val="20"/>
          <w:lang w:val="en-GB"/>
        </w:rPr>
        <w:t>Over the course of last year, the Czech Trade Inspection Authority inspected whether retailers in the domestic market were complying with Act No. 65/2017 Coll., on the Protection of Health from the Harmful Effects of Addictive Substances, Act No. 353/2003 Coll., on Excise Duties, and Act No. 307/2013 Coll., on Mandatory Marking and Label</w:t>
      </w:r>
      <w:r w:rsidR="00BC1B19">
        <w:rPr>
          <w:b/>
          <w:bCs/>
          <w:sz w:val="20"/>
          <w:szCs w:val="20"/>
          <w:lang w:val="en-GB"/>
        </w:rPr>
        <w:t>l</w:t>
      </w:r>
      <w:r w:rsidRPr="00CE0230">
        <w:rPr>
          <w:b/>
          <w:bCs/>
          <w:sz w:val="20"/>
          <w:szCs w:val="20"/>
          <w:lang w:val="en-GB"/>
        </w:rPr>
        <w:t>ing of Alcohol. Within the surveillance scope of the Czech Trade Inspection Authority, the inspections also verified the compliance with other legal regulations. A total of 7,439 inspections were carried out, and non-compliance was found in 3,391 of them (45.58%).</w:t>
      </w:r>
    </w:p>
    <w:p w14:paraId="65309FBA" w14:textId="77777777" w:rsidR="00CE0230" w:rsidRPr="00CE0230" w:rsidRDefault="00CE0230" w:rsidP="00CE0230">
      <w:pPr>
        <w:pStyle w:val="Default"/>
        <w:spacing w:after="200"/>
        <w:jc w:val="both"/>
        <w:rPr>
          <w:sz w:val="20"/>
          <w:szCs w:val="20"/>
          <w:lang w:val="en-GB"/>
        </w:rPr>
      </w:pPr>
      <w:r w:rsidRPr="00CE0230">
        <w:rPr>
          <w:sz w:val="20"/>
          <w:szCs w:val="20"/>
          <w:lang w:val="en-GB"/>
        </w:rPr>
        <w:t>The year-long inspection activity focused on the compliance with legal regulations governing the offering and sale of alcoholic beverages and tobacco products, smoking accessories, herbal products intended for smoking, electronic cigarettes, and tobacco-free nicotine pouches. Between January 2 and December 31, 2025, a total of 7,439 inspections were carried out within the inspection activity. Breaches of legal regulations were found in 3,391 inspections. This represented 45.58% of the total number of inspections.</w:t>
      </w:r>
    </w:p>
    <w:p w14:paraId="7FDEE370" w14:textId="3F208BC9" w:rsidR="00CE0230" w:rsidRPr="00CE0230" w:rsidRDefault="00CE0230" w:rsidP="00CE0230">
      <w:pPr>
        <w:pStyle w:val="Default"/>
        <w:spacing w:after="200"/>
        <w:jc w:val="both"/>
        <w:rPr>
          <w:sz w:val="20"/>
          <w:szCs w:val="20"/>
          <w:lang w:val="en-GB"/>
        </w:rPr>
      </w:pPr>
      <w:r w:rsidRPr="00CE0230">
        <w:rPr>
          <w:sz w:val="20"/>
          <w:szCs w:val="20"/>
          <w:lang w:val="en-GB"/>
        </w:rPr>
        <w:t>Within the activity, 1,527 inspections were carried out with the participation of persons under the age of 18. The CTIA inspectorates also cooperated with other surveillance authorities during the inspections: 441 inspections were carried out in cooperation with the Czech Police, 160 inspections in cooperation with trade licensing offices, 75 inspections with public health authorities, 72 in cooperation with Customs Administration officials, 18 inspections with the Municipal Police,</w:t>
      </w:r>
      <w:r>
        <w:rPr>
          <w:sz w:val="20"/>
          <w:szCs w:val="20"/>
          <w:lang w:val="en-GB"/>
        </w:rPr>
        <w:t xml:space="preserve"> </w:t>
      </w:r>
      <w:r w:rsidRPr="00CE0230">
        <w:rPr>
          <w:sz w:val="20"/>
          <w:szCs w:val="20"/>
          <w:lang w:val="en-GB"/>
        </w:rPr>
        <w:t>13 inspections in cooperation with the Alien Police, 6 inspections together with members of the Fire and Rescue Service of the Czech Republic, 6 inspections were carried out with the State Labo</w:t>
      </w:r>
      <w:r>
        <w:rPr>
          <w:sz w:val="20"/>
          <w:szCs w:val="20"/>
          <w:lang w:val="en-GB"/>
        </w:rPr>
        <w:t>u</w:t>
      </w:r>
      <w:r w:rsidRPr="00CE0230">
        <w:rPr>
          <w:sz w:val="20"/>
          <w:szCs w:val="20"/>
          <w:lang w:val="en-GB"/>
        </w:rPr>
        <w:t>r Inspection Office, and 1 inspection was carried out in cooperation with the State Agricultural and Food Inspection Authority. Some inspections involved multiple government agencies simultaneously.</w:t>
      </w:r>
    </w:p>
    <w:p w14:paraId="24C84F67" w14:textId="77777777" w:rsidR="00CE0230" w:rsidRPr="00CE0230" w:rsidRDefault="00CE0230" w:rsidP="00CE0230">
      <w:pPr>
        <w:pStyle w:val="Default"/>
        <w:spacing w:after="200"/>
        <w:jc w:val="both"/>
        <w:rPr>
          <w:sz w:val="20"/>
          <w:szCs w:val="20"/>
          <w:lang w:val="en-GB"/>
        </w:rPr>
      </w:pPr>
      <w:r w:rsidRPr="00CE0230">
        <w:rPr>
          <w:b/>
          <w:bCs/>
          <w:sz w:val="20"/>
          <w:szCs w:val="20"/>
          <w:lang w:val="en-GB"/>
        </w:rPr>
        <w:t>Infringements of any provision of Act No. 65/2017 Coll., on the Protection of Health from the Harmful Effects of Addictive Substances, were identified in 1,176 cases</w:t>
      </w:r>
      <w:r w:rsidRPr="00CE0230">
        <w:rPr>
          <w:sz w:val="20"/>
          <w:szCs w:val="20"/>
          <w:lang w:val="en-GB"/>
        </w:rPr>
        <w:t>, including:</w:t>
      </w:r>
    </w:p>
    <w:p w14:paraId="339AE4E1" w14:textId="77777777" w:rsidR="00CE0230" w:rsidRPr="00CE0230" w:rsidRDefault="00CE0230" w:rsidP="00CE0230">
      <w:pPr>
        <w:pStyle w:val="Default"/>
        <w:spacing w:after="200"/>
        <w:jc w:val="both"/>
        <w:rPr>
          <w:sz w:val="20"/>
          <w:szCs w:val="20"/>
          <w:lang w:val="en-GB"/>
        </w:rPr>
      </w:pPr>
      <w:r w:rsidRPr="00CE0230">
        <w:rPr>
          <w:sz w:val="20"/>
          <w:szCs w:val="20"/>
          <w:lang w:val="en-GB"/>
        </w:rPr>
        <w:t xml:space="preserve">· </w:t>
      </w:r>
      <w:proofErr w:type="gramStart"/>
      <w:r w:rsidRPr="00CE0230">
        <w:rPr>
          <w:b/>
          <w:bCs/>
          <w:sz w:val="20"/>
          <w:szCs w:val="20"/>
          <w:lang w:val="en-GB"/>
        </w:rPr>
        <w:t>in</w:t>
      </w:r>
      <w:proofErr w:type="gramEnd"/>
      <w:r w:rsidRPr="00CE0230">
        <w:rPr>
          <w:b/>
          <w:bCs/>
          <w:sz w:val="20"/>
          <w:szCs w:val="20"/>
          <w:lang w:val="en-GB"/>
        </w:rPr>
        <w:t xml:space="preserve"> 686 cases</w:t>
      </w:r>
      <w:r w:rsidRPr="00CE0230">
        <w:rPr>
          <w:sz w:val="20"/>
          <w:szCs w:val="20"/>
          <w:lang w:val="en-GB"/>
        </w:rPr>
        <w:t>, a breach of Section 11(5) was found—</w:t>
      </w:r>
      <w:r w:rsidRPr="00CE0230">
        <w:rPr>
          <w:b/>
          <w:bCs/>
          <w:sz w:val="20"/>
          <w:szCs w:val="20"/>
          <w:lang w:val="en-GB"/>
        </w:rPr>
        <w:t>sellers failed to comply with the prohibition on selling or serving alcoholic beverages to persons under 18 years of age</w:t>
      </w:r>
      <w:r w:rsidRPr="00CE0230">
        <w:rPr>
          <w:sz w:val="20"/>
          <w:szCs w:val="20"/>
          <w:lang w:val="en-GB"/>
        </w:rPr>
        <w:t>,</w:t>
      </w:r>
    </w:p>
    <w:p w14:paraId="584B69FF" w14:textId="77777777" w:rsidR="00CE0230" w:rsidRPr="00CE0230" w:rsidRDefault="00CE0230" w:rsidP="00CE0230">
      <w:pPr>
        <w:pStyle w:val="Default"/>
        <w:spacing w:after="200"/>
        <w:jc w:val="both"/>
        <w:rPr>
          <w:sz w:val="20"/>
          <w:szCs w:val="20"/>
          <w:lang w:val="en-GB"/>
        </w:rPr>
      </w:pPr>
      <w:r w:rsidRPr="00CE0230">
        <w:rPr>
          <w:sz w:val="20"/>
          <w:szCs w:val="20"/>
          <w:lang w:val="en-GB"/>
        </w:rPr>
        <w:t xml:space="preserve">· </w:t>
      </w:r>
      <w:r w:rsidRPr="00CE0230">
        <w:rPr>
          <w:b/>
          <w:bCs/>
          <w:sz w:val="20"/>
          <w:szCs w:val="20"/>
          <w:lang w:val="en-GB"/>
        </w:rPr>
        <w:t>in 160 cases</w:t>
      </w:r>
      <w:r w:rsidRPr="00CE0230">
        <w:rPr>
          <w:sz w:val="20"/>
          <w:szCs w:val="20"/>
          <w:lang w:val="en-GB"/>
        </w:rPr>
        <w:t>, a breach of Section 5(2) was identified—</w:t>
      </w:r>
      <w:r w:rsidRPr="00CE0230">
        <w:rPr>
          <w:b/>
          <w:bCs/>
          <w:sz w:val="20"/>
          <w:szCs w:val="20"/>
          <w:lang w:val="en-GB"/>
        </w:rPr>
        <w:t>sellers at points of sale for tobacco products, smoking accessories, herbal products intended for smoking, electronic cigarettes, and tobacco-free nicotine pouches, failed to display a clearly visible notice to consumers prohibiting the sale of these goods to persons under the age of 18,</w:t>
      </w:r>
      <w:r w:rsidRPr="00CE0230">
        <w:rPr>
          <w:sz w:val="20"/>
          <w:szCs w:val="20"/>
          <w:lang w:val="en-GB"/>
        </w:rPr>
        <w:t xml:space="preserve"> or this notice was not provided in the form required by law, i.e., in the Czech language, in black block letters on a white background with a font size of at least 2 cm,</w:t>
      </w:r>
    </w:p>
    <w:p w14:paraId="602E48CE" w14:textId="77777777" w:rsidR="00CE0230" w:rsidRPr="00CE0230" w:rsidRDefault="00CE0230" w:rsidP="00CE0230">
      <w:pPr>
        <w:pStyle w:val="Default"/>
        <w:spacing w:after="200"/>
        <w:jc w:val="both"/>
        <w:rPr>
          <w:sz w:val="20"/>
          <w:szCs w:val="20"/>
          <w:lang w:val="en-GB"/>
        </w:rPr>
      </w:pPr>
      <w:r w:rsidRPr="00CE0230">
        <w:rPr>
          <w:sz w:val="20"/>
          <w:szCs w:val="20"/>
          <w:lang w:val="en-GB"/>
        </w:rPr>
        <w:t xml:space="preserve">· </w:t>
      </w:r>
      <w:r w:rsidRPr="00CE0230">
        <w:rPr>
          <w:b/>
          <w:bCs/>
          <w:sz w:val="20"/>
          <w:szCs w:val="20"/>
          <w:lang w:val="en-GB"/>
        </w:rPr>
        <w:t>In 124 cases</w:t>
      </w:r>
      <w:r w:rsidRPr="00CE0230">
        <w:rPr>
          <w:sz w:val="20"/>
          <w:szCs w:val="20"/>
          <w:lang w:val="en-GB"/>
        </w:rPr>
        <w:t>, a breach of Section 13(1) was found—</w:t>
      </w:r>
      <w:r w:rsidRPr="00CE0230">
        <w:rPr>
          <w:b/>
          <w:bCs/>
          <w:sz w:val="20"/>
          <w:szCs w:val="20"/>
          <w:lang w:val="en-GB"/>
        </w:rPr>
        <w:t>sellers failed to display, at points of sale for alcoholic beverages, a clearly visible notice to consumers regarding the prohibition on selling these beverages to persons under the age of 18</w:t>
      </w:r>
      <w:r w:rsidRPr="00CE0230">
        <w:rPr>
          <w:sz w:val="20"/>
          <w:szCs w:val="20"/>
          <w:lang w:val="en-GB"/>
        </w:rPr>
        <w:t>, or this notice was not provided in the form required by law, i.e., in the Czech language, in black block letters on a white background with a font size of at least 2 cm,</w:t>
      </w:r>
    </w:p>
    <w:p w14:paraId="6AABF9A0" w14:textId="77777777" w:rsidR="00CE0230" w:rsidRPr="00CE0230" w:rsidRDefault="00CE0230" w:rsidP="00CE0230">
      <w:pPr>
        <w:pStyle w:val="Default"/>
        <w:spacing w:after="200"/>
        <w:jc w:val="both"/>
        <w:rPr>
          <w:sz w:val="20"/>
          <w:szCs w:val="20"/>
          <w:lang w:val="en-GB"/>
        </w:rPr>
      </w:pPr>
      <w:r w:rsidRPr="00CE0230">
        <w:rPr>
          <w:sz w:val="20"/>
          <w:szCs w:val="20"/>
          <w:lang w:val="en-GB"/>
        </w:rPr>
        <w:t xml:space="preserve">· </w:t>
      </w:r>
      <w:r w:rsidRPr="00CE0230">
        <w:rPr>
          <w:b/>
          <w:bCs/>
          <w:sz w:val="20"/>
          <w:szCs w:val="20"/>
          <w:lang w:val="en-GB"/>
        </w:rPr>
        <w:t>In 76 cases</w:t>
      </w:r>
      <w:r w:rsidRPr="00CE0230">
        <w:rPr>
          <w:sz w:val="20"/>
          <w:szCs w:val="20"/>
          <w:lang w:val="en-GB"/>
        </w:rPr>
        <w:t xml:space="preserve">, a breach of Section 3(4) was found – </w:t>
      </w:r>
      <w:r w:rsidRPr="00CE0230">
        <w:rPr>
          <w:b/>
          <w:bCs/>
          <w:sz w:val="20"/>
          <w:szCs w:val="20"/>
          <w:lang w:val="en-GB"/>
        </w:rPr>
        <w:t xml:space="preserve">sellers violated the prohibition on selling or serving tobacco products, herbal products intended for smoking, electronic cigarettes, and tobacco-free nicotine pouches to persons under the age of 18 </w:t>
      </w:r>
      <w:r w:rsidRPr="00CE0230">
        <w:rPr>
          <w:sz w:val="20"/>
          <w:szCs w:val="20"/>
          <w:lang w:val="en-GB"/>
        </w:rPr>
        <w:t xml:space="preserve">(65 cases) or </w:t>
      </w:r>
      <w:r w:rsidRPr="00CE0230">
        <w:rPr>
          <w:b/>
          <w:bCs/>
          <w:sz w:val="20"/>
          <w:szCs w:val="20"/>
          <w:lang w:val="en-GB"/>
        </w:rPr>
        <w:t>sellers breached the ban on selling smoking accessories to persons under the age of 18</w:t>
      </w:r>
      <w:r w:rsidRPr="00CE0230">
        <w:rPr>
          <w:sz w:val="20"/>
          <w:szCs w:val="20"/>
          <w:lang w:val="en-GB"/>
        </w:rPr>
        <w:t xml:space="preserve"> (11 cases),</w:t>
      </w:r>
    </w:p>
    <w:p w14:paraId="62945374" w14:textId="77777777" w:rsidR="00CE0230" w:rsidRPr="00CE0230" w:rsidRDefault="00CE0230" w:rsidP="00CE0230">
      <w:pPr>
        <w:pStyle w:val="Default"/>
        <w:spacing w:after="200"/>
        <w:jc w:val="both"/>
        <w:rPr>
          <w:sz w:val="20"/>
          <w:szCs w:val="20"/>
          <w:lang w:val="en-GB"/>
        </w:rPr>
      </w:pPr>
      <w:r w:rsidRPr="00CE0230">
        <w:rPr>
          <w:sz w:val="20"/>
          <w:szCs w:val="20"/>
          <w:lang w:val="en-GB"/>
        </w:rPr>
        <w:lastRenderedPageBreak/>
        <w:t xml:space="preserve">· </w:t>
      </w:r>
      <w:proofErr w:type="gramStart"/>
      <w:r w:rsidRPr="00CE0230">
        <w:rPr>
          <w:b/>
          <w:bCs/>
          <w:sz w:val="20"/>
          <w:szCs w:val="20"/>
          <w:lang w:val="en-GB"/>
        </w:rPr>
        <w:t>in</w:t>
      </w:r>
      <w:proofErr w:type="gramEnd"/>
      <w:r w:rsidRPr="00CE0230">
        <w:rPr>
          <w:b/>
          <w:bCs/>
          <w:sz w:val="20"/>
          <w:szCs w:val="20"/>
          <w:lang w:val="en-GB"/>
        </w:rPr>
        <w:t xml:space="preserve"> 40 cases</w:t>
      </w:r>
      <w:r w:rsidRPr="00CE0230">
        <w:rPr>
          <w:sz w:val="20"/>
          <w:szCs w:val="20"/>
          <w:lang w:val="en-GB"/>
        </w:rPr>
        <w:t xml:space="preserve">, a breach of Section 3(5) was found, where </w:t>
      </w:r>
      <w:r w:rsidRPr="00CE0230">
        <w:rPr>
          <w:b/>
          <w:bCs/>
          <w:sz w:val="20"/>
          <w:szCs w:val="20"/>
          <w:lang w:val="en-GB"/>
        </w:rPr>
        <w:t>the prohibition on offering economic benefits in the sale of tobacco products, smoking accessories, herbal products intended for smoking, electronic cigarettes, refill cartridges for electronic cigarettes, and tobacco-free nicotine pouches was violated</w:t>
      </w:r>
      <w:r w:rsidRPr="00CE0230">
        <w:rPr>
          <w:sz w:val="20"/>
          <w:szCs w:val="20"/>
          <w:lang w:val="en-GB"/>
        </w:rPr>
        <w:t>,</w:t>
      </w:r>
    </w:p>
    <w:p w14:paraId="6F526B4B" w14:textId="77777777" w:rsidR="00CE0230" w:rsidRPr="00CE0230" w:rsidRDefault="00CE0230" w:rsidP="00CE0230">
      <w:pPr>
        <w:pStyle w:val="Default"/>
        <w:spacing w:after="200"/>
        <w:jc w:val="both"/>
        <w:rPr>
          <w:sz w:val="20"/>
          <w:szCs w:val="20"/>
          <w:lang w:val="en-GB"/>
        </w:rPr>
      </w:pPr>
      <w:r w:rsidRPr="00CE0230">
        <w:rPr>
          <w:sz w:val="20"/>
          <w:szCs w:val="20"/>
          <w:lang w:val="en-GB"/>
        </w:rPr>
        <w:t xml:space="preserve">· </w:t>
      </w:r>
      <w:proofErr w:type="gramStart"/>
      <w:r w:rsidRPr="00CE0230">
        <w:rPr>
          <w:b/>
          <w:bCs/>
          <w:sz w:val="20"/>
          <w:szCs w:val="20"/>
          <w:lang w:val="en-GB"/>
        </w:rPr>
        <w:t>in</w:t>
      </w:r>
      <w:proofErr w:type="gramEnd"/>
      <w:r w:rsidRPr="00CE0230">
        <w:rPr>
          <w:b/>
          <w:bCs/>
          <w:sz w:val="20"/>
          <w:szCs w:val="20"/>
          <w:lang w:val="en-GB"/>
        </w:rPr>
        <w:t xml:space="preserve"> 26 cases</w:t>
      </w:r>
      <w:r w:rsidRPr="00CE0230">
        <w:rPr>
          <w:sz w:val="20"/>
          <w:szCs w:val="20"/>
          <w:lang w:val="en-GB"/>
        </w:rPr>
        <w:t>, a breach of Section 5(1) was found—</w:t>
      </w:r>
      <w:r w:rsidRPr="00CE0230">
        <w:rPr>
          <w:b/>
          <w:bCs/>
          <w:sz w:val="20"/>
          <w:szCs w:val="20"/>
          <w:lang w:val="en-GB"/>
        </w:rPr>
        <w:t>sellers did not offer tobacco products, smoking accessories, herbal products intended for smoking, electronic cigarettes, and tobacco-free nicotine pouches in a designated area separate from the rest of the product range</w:t>
      </w:r>
      <w:r w:rsidRPr="00CE0230">
        <w:rPr>
          <w:sz w:val="20"/>
          <w:szCs w:val="20"/>
          <w:lang w:val="en-GB"/>
        </w:rPr>
        <w:t>,</w:t>
      </w:r>
    </w:p>
    <w:p w14:paraId="47EB1A80" w14:textId="77777777" w:rsidR="00CE0230" w:rsidRPr="00CE0230" w:rsidRDefault="00CE0230" w:rsidP="00CE0230">
      <w:pPr>
        <w:pStyle w:val="Default"/>
        <w:spacing w:after="200"/>
        <w:jc w:val="both"/>
        <w:rPr>
          <w:sz w:val="20"/>
          <w:szCs w:val="20"/>
          <w:lang w:val="en-GB"/>
        </w:rPr>
      </w:pPr>
      <w:r w:rsidRPr="00CE0230">
        <w:rPr>
          <w:sz w:val="20"/>
          <w:szCs w:val="20"/>
          <w:lang w:val="en-GB"/>
        </w:rPr>
        <w:t xml:space="preserve">· </w:t>
      </w:r>
      <w:r w:rsidRPr="00CE0230">
        <w:rPr>
          <w:b/>
          <w:bCs/>
          <w:sz w:val="20"/>
          <w:szCs w:val="20"/>
          <w:lang w:val="en-GB"/>
        </w:rPr>
        <w:t>In 26 cases</w:t>
      </w:r>
      <w:r w:rsidRPr="00CE0230">
        <w:rPr>
          <w:sz w:val="20"/>
          <w:szCs w:val="20"/>
          <w:lang w:val="en-GB"/>
        </w:rPr>
        <w:t xml:space="preserve">, a violation of Section 13(2) was found </w:t>
      </w:r>
      <w:r w:rsidRPr="00CE0230">
        <w:rPr>
          <w:b/>
          <w:bCs/>
          <w:sz w:val="20"/>
          <w:szCs w:val="20"/>
          <w:lang w:val="en-GB"/>
        </w:rPr>
        <w:t>– persons selling or serving alcoholic beverages did not meet the mandatory minimum age requirement of 18 years</w:t>
      </w:r>
      <w:r w:rsidRPr="00CE0230">
        <w:rPr>
          <w:sz w:val="20"/>
          <w:szCs w:val="20"/>
          <w:lang w:val="en-GB"/>
        </w:rPr>
        <w:t>,</w:t>
      </w:r>
    </w:p>
    <w:p w14:paraId="21647CE4" w14:textId="77777777" w:rsidR="00CE0230" w:rsidRPr="00CE0230" w:rsidRDefault="00CE0230" w:rsidP="00CE0230">
      <w:pPr>
        <w:pStyle w:val="Default"/>
        <w:spacing w:after="200"/>
        <w:jc w:val="both"/>
        <w:rPr>
          <w:sz w:val="20"/>
          <w:szCs w:val="20"/>
          <w:lang w:val="en-GB"/>
        </w:rPr>
      </w:pPr>
      <w:r w:rsidRPr="00CE0230">
        <w:rPr>
          <w:sz w:val="20"/>
          <w:szCs w:val="20"/>
          <w:lang w:val="en-GB"/>
        </w:rPr>
        <w:t xml:space="preserve">· </w:t>
      </w:r>
      <w:r w:rsidRPr="00CE0230">
        <w:rPr>
          <w:b/>
          <w:bCs/>
          <w:sz w:val="20"/>
          <w:szCs w:val="20"/>
          <w:lang w:val="en-GB"/>
        </w:rPr>
        <w:t>In 11 cases</w:t>
      </w:r>
      <w:r w:rsidRPr="00CE0230">
        <w:rPr>
          <w:sz w:val="20"/>
          <w:szCs w:val="20"/>
          <w:lang w:val="en-GB"/>
        </w:rPr>
        <w:t xml:space="preserve">, a breach of Section 15(1) was found, where </w:t>
      </w:r>
      <w:r w:rsidRPr="00CE0230">
        <w:rPr>
          <w:b/>
          <w:bCs/>
          <w:sz w:val="20"/>
          <w:szCs w:val="20"/>
          <w:lang w:val="en-GB"/>
        </w:rPr>
        <w:t>sellers sold alcoholic beverages via a means of distance communication without ensuring that sales to persons under 18 years of age were prevented</w:t>
      </w:r>
      <w:r w:rsidRPr="00CE0230">
        <w:rPr>
          <w:sz w:val="20"/>
          <w:szCs w:val="20"/>
          <w:lang w:val="en-GB"/>
        </w:rPr>
        <w:t>,</w:t>
      </w:r>
    </w:p>
    <w:p w14:paraId="2717E8E2" w14:textId="77777777" w:rsidR="00CE0230" w:rsidRPr="00CE0230" w:rsidRDefault="00CE0230" w:rsidP="00CE0230">
      <w:pPr>
        <w:pStyle w:val="Default"/>
        <w:spacing w:after="200"/>
        <w:jc w:val="both"/>
        <w:rPr>
          <w:sz w:val="20"/>
          <w:szCs w:val="20"/>
          <w:lang w:val="en-GB"/>
        </w:rPr>
      </w:pPr>
      <w:r w:rsidRPr="00CE0230">
        <w:rPr>
          <w:sz w:val="20"/>
          <w:szCs w:val="20"/>
          <w:lang w:val="en-GB"/>
        </w:rPr>
        <w:t>· Breaches of other provisions of the Act on the Protection of Health from the Harmful Effects of Addictive Substances were found in a few cases.</w:t>
      </w:r>
    </w:p>
    <w:p w14:paraId="5B4DE677" w14:textId="77777777" w:rsidR="00CE0230" w:rsidRPr="00CE0230" w:rsidRDefault="00CE0230" w:rsidP="00CE0230">
      <w:pPr>
        <w:pStyle w:val="Default"/>
        <w:spacing w:after="200"/>
        <w:jc w:val="both"/>
        <w:rPr>
          <w:sz w:val="20"/>
          <w:szCs w:val="20"/>
          <w:lang w:val="en-GB"/>
        </w:rPr>
      </w:pPr>
      <w:r w:rsidRPr="00CE0230">
        <w:rPr>
          <w:b/>
          <w:bCs/>
          <w:sz w:val="20"/>
          <w:szCs w:val="20"/>
          <w:lang w:val="en-GB"/>
        </w:rPr>
        <w:t>Breaches of provisions of Act No. 353/2003 Coll., on Excise Taxes, were found in 14 cases</w:t>
      </w:r>
      <w:r w:rsidRPr="00CE0230">
        <w:rPr>
          <w:sz w:val="20"/>
          <w:szCs w:val="20"/>
          <w:lang w:val="en-GB"/>
        </w:rPr>
        <w:t>:</w:t>
      </w:r>
    </w:p>
    <w:p w14:paraId="568F3E31" w14:textId="77777777" w:rsidR="00CE0230" w:rsidRPr="00CE0230" w:rsidRDefault="00CE0230" w:rsidP="00CE0230">
      <w:pPr>
        <w:pStyle w:val="Default"/>
        <w:spacing w:after="200"/>
        <w:jc w:val="both"/>
        <w:rPr>
          <w:sz w:val="20"/>
          <w:szCs w:val="20"/>
          <w:lang w:val="en-GB"/>
        </w:rPr>
      </w:pPr>
      <w:r w:rsidRPr="00CE0230">
        <w:rPr>
          <w:sz w:val="20"/>
          <w:szCs w:val="20"/>
          <w:lang w:val="en-GB"/>
        </w:rPr>
        <w:t xml:space="preserve">· </w:t>
      </w:r>
      <w:proofErr w:type="gramStart"/>
      <w:r w:rsidRPr="00CE0230">
        <w:rPr>
          <w:b/>
          <w:bCs/>
          <w:sz w:val="20"/>
          <w:szCs w:val="20"/>
          <w:lang w:val="en-GB"/>
        </w:rPr>
        <w:t>in</w:t>
      </w:r>
      <w:proofErr w:type="gramEnd"/>
      <w:r w:rsidRPr="00CE0230">
        <w:rPr>
          <w:b/>
          <w:bCs/>
          <w:sz w:val="20"/>
          <w:szCs w:val="20"/>
          <w:lang w:val="en-GB"/>
        </w:rPr>
        <w:t xml:space="preserve"> 6 cases</w:t>
      </w:r>
      <w:r w:rsidRPr="00CE0230">
        <w:rPr>
          <w:sz w:val="20"/>
          <w:szCs w:val="20"/>
          <w:lang w:val="en-GB"/>
        </w:rPr>
        <w:t xml:space="preserve">, this involved a breach of the provisions of Section 107(4) – </w:t>
      </w:r>
      <w:r w:rsidRPr="00CE0230">
        <w:rPr>
          <w:b/>
          <w:bCs/>
          <w:sz w:val="20"/>
          <w:szCs w:val="20"/>
          <w:lang w:val="en-GB"/>
        </w:rPr>
        <w:t>sellers violated the obligation to sell tobacco products in sealed individual packages with an intact tobacco tax stamp</w:t>
      </w:r>
      <w:r w:rsidRPr="00CE0230">
        <w:rPr>
          <w:sz w:val="20"/>
          <w:szCs w:val="20"/>
          <w:lang w:val="en-GB"/>
        </w:rPr>
        <w:t>,</w:t>
      </w:r>
    </w:p>
    <w:p w14:paraId="5051CB45" w14:textId="77777777" w:rsidR="00CE0230" w:rsidRPr="00CE0230" w:rsidRDefault="00CE0230" w:rsidP="00CE0230">
      <w:pPr>
        <w:pStyle w:val="Default"/>
        <w:spacing w:after="200"/>
        <w:jc w:val="both"/>
        <w:rPr>
          <w:sz w:val="20"/>
          <w:szCs w:val="20"/>
          <w:lang w:val="en-GB"/>
        </w:rPr>
      </w:pPr>
      <w:r w:rsidRPr="00CE0230">
        <w:rPr>
          <w:sz w:val="20"/>
          <w:szCs w:val="20"/>
          <w:lang w:val="en-GB"/>
        </w:rPr>
        <w:t xml:space="preserve">· </w:t>
      </w:r>
      <w:proofErr w:type="gramStart"/>
      <w:r w:rsidRPr="00CE0230">
        <w:rPr>
          <w:b/>
          <w:bCs/>
          <w:sz w:val="20"/>
          <w:szCs w:val="20"/>
          <w:lang w:val="en-GB"/>
        </w:rPr>
        <w:t>in</w:t>
      </w:r>
      <w:proofErr w:type="gramEnd"/>
      <w:r w:rsidRPr="00CE0230">
        <w:rPr>
          <w:b/>
          <w:bCs/>
          <w:sz w:val="20"/>
          <w:szCs w:val="20"/>
          <w:lang w:val="en-GB"/>
        </w:rPr>
        <w:t xml:space="preserve"> 4 cases</w:t>
      </w:r>
      <w:r w:rsidRPr="00CE0230">
        <w:rPr>
          <w:sz w:val="20"/>
          <w:szCs w:val="20"/>
          <w:lang w:val="en-GB"/>
        </w:rPr>
        <w:t>, the sale of cigarettes to the final consumer at a price higher than the price stated on the tobacco tax stamp was detected, thereby violating the provisions of Section 112,</w:t>
      </w:r>
    </w:p>
    <w:p w14:paraId="6CEFFE5D" w14:textId="77777777" w:rsidR="00CE0230" w:rsidRPr="00CE0230" w:rsidRDefault="00CE0230" w:rsidP="00CE0230">
      <w:pPr>
        <w:pStyle w:val="Default"/>
        <w:spacing w:after="200"/>
        <w:jc w:val="both"/>
        <w:rPr>
          <w:sz w:val="20"/>
          <w:szCs w:val="20"/>
          <w:lang w:val="en-GB"/>
        </w:rPr>
      </w:pPr>
      <w:r w:rsidRPr="00CE0230">
        <w:rPr>
          <w:sz w:val="20"/>
          <w:szCs w:val="20"/>
          <w:lang w:val="en-GB"/>
        </w:rPr>
        <w:t xml:space="preserve">· </w:t>
      </w:r>
      <w:proofErr w:type="gramStart"/>
      <w:r w:rsidRPr="00CE0230">
        <w:rPr>
          <w:b/>
          <w:bCs/>
          <w:sz w:val="20"/>
          <w:szCs w:val="20"/>
          <w:lang w:val="en-GB"/>
        </w:rPr>
        <w:t>in</w:t>
      </w:r>
      <w:proofErr w:type="gramEnd"/>
      <w:r w:rsidRPr="00CE0230">
        <w:rPr>
          <w:b/>
          <w:bCs/>
          <w:sz w:val="20"/>
          <w:szCs w:val="20"/>
          <w:lang w:val="en-GB"/>
        </w:rPr>
        <w:t xml:space="preserve"> 3 cases</w:t>
      </w:r>
      <w:r w:rsidRPr="00CE0230">
        <w:rPr>
          <w:sz w:val="20"/>
          <w:szCs w:val="20"/>
          <w:lang w:val="en-GB"/>
        </w:rPr>
        <w:t>, the storage or sale of unmarked tobacco products was detected, thereby violating the provisions of Section 114(1),</w:t>
      </w:r>
    </w:p>
    <w:p w14:paraId="4DFE2FFE" w14:textId="77777777" w:rsidR="00CE0230" w:rsidRPr="00CE0230" w:rsidRDefault="00CE0230" w:rsidP="00CE0230">
      <w:pPr>
        <w:pStyle w:val="Default"/>
        <w:spacing w:after="200"/>
        <w:jc w:val="both"/>
        <w:rPr>
          <w:sz w:val="20"/>
          <w:szCs w:val="20"/>
          <w:lang w:val="en-GB"/>
        </w:rPr>
      </w:pPr>
      <w:r w:rsidRPr="00CE0230">
        <w:rPr>
          <w:sz w:val="20"/>
          <w:szCs w:val="20"/>
          <w:lang w:val="en-GB"/>
        </w:rPr>
        <w:t xml:space="preserve">· </w:t>
      </w:r>
      <w:proofErr w:type="gramStart"/>
      <w:r w:rsidRPr="00CE0230">
        <w:rPr>
          <w:b/>
          <w:bCs/>
          <w:sz w:val="20"/>
          <w:szCs w:val="20"/>
          <w:lang w:val="en-GB"/>
        </w:rPr>
        <w:t>in</w:t>
      </w:r>
      <w:proofErr w:type="gramEnd"/>
      <w:r w:rsidRPr="00CE0230">
        <w:rPr>
          <w:b/>
          <w:bCs/>
          <w:sz w:val="20"/>
          <w:szCs w:val="20"/>
          <w:lang w:val="en-GB"/>
        </w:rPr>
        <w:t xml:space="preserve"> 1 case</w:t>
      </w:r>
      <w:r w:rsidRPr="00CE0230">
        <w:rPr>
          <w:sz w:val="20"/>
          <w:szCs w:val="20"/>
          <w:lang w:val="en-GB"/>
        </w:rPr>
        <w:t>, the sale of cigarettes to the end consumer at a price lower than the price indicated on the tobacco tax stamp was detected, thereby breaching the provisions of Section 110(1).</w:t>
      </w:r>
    </w:p>
    <w:p w14:paraId="2B840701" w14:textId="785003EE" w:rsidR="00CE0230" w:rsidRPr="00CE0230" w:rsidRDefault="00CE0230" w:rsidP="00CE0230">
      <w:pPr>
        <w:pStyle w:val="Default"/>
        <w:spacing w:after="200"/>
        <w:jc w:val="both"/>
        <w:rPr>
          <w:sz w:val="20"/>
          <w:szCs w:val="20"/>
          <w:lang w:val="en-GB"/>
        </w:rPr>
      </w:pPr>
      <w:r w:rsidRPr="00CE0230">
        <w:rPr>
          <w:sz w:val="20"/>
          <w:szCs w:val="20"/>
          <w:lang w:val="en-GB"/>
        </w:rPr>
        <w:t>No infringements of Act No. 307/2013 Coll., on Mandatory Marking and Labelling of Alcohol, were detected during the period under review.</w:t>
      </w:r>
    </w:p>
    <w:p w14:paraId="030D8224" w14:textId="30B3AE1C" w:rsidR="00CE0230" w:rsidRPr="00CE0230" w:rsidRDefault="00CE0230" w:rsidP="00CE0230">
      <w:pPr>
        <w:pStyle w:val="Default"/>
        <w:spacing w:after="200"/>
        <w:jc w:val="both"/>
        <w:rPr>
          <w:sz w:val="20"/>
          <w:szCs w:val="20"/>
          <w:lang w:val="en-GB"/>
        </w:rPr>
      </w:pPr>
      <w:r w:rsidRPr="00CE0230">
        <w:rPr>
          <w:b/>
          <w:bCs/>
          <w:sz w:val="20"/>
          <w:szCs w:val="20"/>
          <w:lang w:val="en-GB"/>
        </w:rPr>
        <w:t>Breaches of provisions of Act No. 634/1992 Coll., on Consumer Protection, were proven in 3,010 cases</w:t>
      </w:r>
      <w:r w:rsidRPr="00CE0230">
        <w:rPr>
          <w:sz w:val="20"/>
          <w:szCs w:val="20"/>
          <w:lang w:val="en-GB"/>
        </w:rPr>
        <w:t>. Among the most common were failure to inform the consumer of the price of the products and services offered in accordance with Section 12, total</w:t>
      </w:r>
      <w:r>
        <w:rPr>
          <w:sz w:val="20"/>
          <w:szCs w:val="20"/>
          <w:lang w:val="en-GB"/>
        </w:rPr>
        <w:t>l</w:t>
      </w:r>
      <w:r w:rsidRPr="00CE0230">
        <w:rPr>
          <w:sz w:val="20"/>
          <w:szCs w:val="20"/>
          <w:lang w:val="en-GB"/>
        </w:rPr>
        <w:t>ing 977 cases; violations of the principles of fair trade within the meaning of Section 3 were identified in 881 cases, and failure to issue a receipt for the purchase of products, even though the consumer requested it, or issuing a receipt without the necessary details, in accordance with Section 16, was identified in 543 cases. Other breaches of legal regulations were found in smaller numbers.</w:t>
      </w:r>
    </w:p>
    <w:p w14:paraId="38464B36" w14:textId="782B2A55" w:rsidR="00CE0230" w:rsidRPr="00CE0230" w:rsidRDefault="00CE0230" w:rsidP="00CE0230">
      <w:pPr>
        <w:pStyle w:val="Default"/>
        <w:spacing w:after="200"/>
        <w:jc w:val="both"/>
        <w:rPr>
          <w:sz w:val="20"/>
          <w:szCs w:val="20"/>
          <w:lang w:val="en-GB"/>
        </w:rPr>
      </w:pPr>
      <w:r w:rsidRPr="00CE0230">
        <w:rPr>
          <w:sz w:val="20"/>
          <w:szCs w:val="20"/>
          <w:lang w:val="en-GB"/>
        </w:rPr>
        <w:t xml:space="preserve">Based on the breaches of legal regulations identified within the surveillance scope of the Czech Trade Inspection Authority, </w:t>
      </w:r>
      <w:r w:rsidRPr="00CE0230">
        <w:rPr>
          <w:b/>
          <w:bCs/>
          <w:sz w:val="20"/>
          <w:szCs w:val="20"/>
          <w:lang w:val="en-GB"/>
        </w:rPr>
        <w:t>2,677 fines total</w:t>
      </w:r>
      <w:r>
        <w:rPr>
          <w:b/>
          <w:bCs/>
          <w:sz w:val="20"/>
          <w:szCs w:val="20"/>
          <w:lang w:val="en-GB"/>
        </w:rPr>
        <w:t>l</w:t>
      </w:r>
      <w:r w:rsidRPr="00CE0230">
        <w:rPr>
          <w:b/>
          <w:bCs/>
          <w:sz w:val="20"/>
          <w:szCs w:val="20"/>
          <w:lang w:val="en-GB"/>
        </w:rPr>
        <w:t>ing 44,209,000 CZK</w:t>
      </w:r>
      <w:r w:rsidRPr="00CE0230">
        <w:rPr>
          <w:sz w:val="20"/>
          <w:szCs w:val="20"/>
          <w:lang w:val="en-GB"/>
        </w:rPr>
        <w:t xml:space="preserve"> became effective in the period from January 1, 2025, to December 31, 2025. In some cases, these are combined fines imposed for deficiencies identified during multiple inspections at various business premises of a single seller.</w:t>
      </w:r>
    </w:p>
    <w:p w14:paraId="6B41973E" w14:textId="217E4B18" w:rsidR="00DD3AB4" w:rsidRDefault="00CE0230" w:rsidP="00CE0230">
      <w:pPr>
        <w:pStyle w:val="Default"/>
        <w:spacing w:after="200"/>
        <w:jc w:val="both"/>
        <w:rPr>
          <w:sz w:val="20"/>
          <w:szCs w:val="20"/>
          <w:lang w:val="en-GB"/>
        </w:rPr>
      </w:pPr>
      <w:r w:rsidRPr="00CE0230">
        <w:rPr>
          <w:sz w:val="20"/>
          <w:szCs w:val="20"/>
          <w:lang w:val="en-GB"/>
        </w:rPr>
        <w:t xml:space="preserve">The figures above also include special inspection activities carried out by the Czech Trade Inspection Authority during 2025, particularly the “Alcohol, Drugs, and Youth 2025” campaign, which was coordinated by the Police of the Czech Republic and involved inspections conducted in cooperation with other state surveillance authorities and with persons under the age of 18. The results of this special inspection activity were also evaluated </w:t>
      </w:r>
      <w:hyperlink r:id="rId9" w:history="1">
        <w:r w:rsidRPr="00CE0230">
          <w:rPr>
            <w:rStyle w:val="Hypertextovodkaz"/>
            <w:sz w:val="20"/>
            <w:szCs w:val="20"/>
            <w:lang w:val="en-GB"/>
          </w:rPr>
          <w:t>separately</w:t>
        </w:r>
      </w:hyperlink>
      <w:r w:rsidRPr="00CE0230">
        <w:rPr>
          <w:sz w:val="20"/>
          <w:szCs w:val="20"/>
          <w:lang w:val="en-GB"/>
        </w:rPr>
        <w:t xml:space="preserve">. </w:t>
      </w:r>
    </w:p>
    <w:p w14:paraId="602B4749" w14:textId="3CB5656C" w:rsidR="00BF45C5" w:rsidRPr="00CE0230" w:rsidRDefault="00CE0230" w:rsidP="00CE0230">
      <w:pPr>
        <w:pStyle w:val="Default"/>
        <w:spacing w:after="200"/>
        <w:jc w:val="both"/>
        <w:rPr>
          <w:sz w:val="20"/>
          <w:szCs w:val="20"/>
          <w:lang w:val="en-GB"/>
        </w:rPr>
      </w:pPr>
      <w:r w:rsidRPr="00CE0230">
        <w:rPr>
          <w:sz w:val="20"/>
          <w:szCs w:val="20"/>
          <w:lang w:val="en-GB"/>
        </w:rPr>
        <w:t xml:space="preserve">The inspection results confirm the validity of the activity. Deficiencies were found in nearly half of the cases. </w:t>
      </w:r>
      <w:r w:rsidRPr="00CE0230">
        <w:rPr>
          <w:b/>
          <w:bCs/>
          <w:sz w:val="20"/>
          <w:szCs w:val="20"/>
          <w:lang w:val="en-GB"/>
        </w:rPr>
        <w:t xml:space="preserve">The most serious finding was the sale or serving of alcoholic beverages to persons under the age of 18, </w:t>
      </w:r>
      <w:r w:rsidRPr="00CE0230">
        <w:rPr>
          <w:sz w:val="20"/>
          <w:szCs w:val="20"/>
          <w:lang w:val="en-GB"/>
        </w:rPr>
        <w:t xml:space="preserve">which was detected in 686 cases during the period under review. </w:t>
      </w:r>
      <w:r w:rsidRPr="00CE0230">
        <w:rPr>
          <w:b/>
          <w:bCs/>
          <w:sz w:val="20"/>
          <w:szCs w:val="20"/>
          <w:lang w:val="en-GB"/>
        </w:rPr>
        <w:t>This represents an increase of 257 cases compared to 2024</w:t>
      </w:r>
      <w:r w:rsidRPr="00CE0230">
        <w:rPr>
          <w:sz w:val="20"/>
          <w:szCs w:val="20"/>
          <w:lang w:val="en-GB"/>
        </w:rPr>
        <w:t>. The Czech Trade Inspection Authority will continue to focus intensively on inspection activities in this area</w:t>
      </w:r>
      <w:r w:rsidR="00DD3AB4">
        <w:rPr>
          <w:sz w:val="20"/>
          <w:szCs w:val="20"/>
          <w:lang w:val="en-GB"/>
        </w:rPr>
        <w:t>.</w:t>
      </w:r>
    </w:p>
    <w:sectPr w:rsidR="00BF45C5" w:rsidRPr="00CE0230" w:rsidSect="00663C7B">
      <w:headerReference w:type="default" r:id="rId10"/>
      <w:footerReference w:type="default" r:id="rId11"/>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C4FD" w14:textId="77777777" w:rsidR="00F9772E" w:rsidRDefault="00F9772E" w:rsidP="00807D68">
      <w:pPr>
        <w:spacing w:after="0" w:line="240" w:lineRule="auto"/>
      </w:pPr>
      <w:r>
        <w:separator/>
      </w:r>
    </w:p>
  </w:endnote>
  <w:endnote w:type="continuationSeparator" w:id="0">
    <w:p w14:paraId="3E18A030" w14:textId="77777777" w:rsidR="00F9772E" w:rsidRDefault="00F9772E"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9753" w14:textId="77777777" w:rsidR="00DD3AB4" w:rsidRPr="000B3C18" w:rsidRDefault="00DD3AB4" w:rsidP="00DD3AB4">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59264" behindDoc="1" locked="0" layoutInCell="1" allowOverlap="1" wp14:anchorId="011DA92A" wp14:editId="69EF5199">
              <wp:simplePos x="0" y="0"/>
              <wp:positionH relativeFrom="column">
                <wp:posOffset>3472180</wp:posOffset>
              </wp:positionH>
              <wp:positionV relativeFrom="paragraph">
                <wp:posOffset>10160</wp:posOffset>
              </wp:positionV>
              <wp:extent cx="2361564" cy="653414"/>
              <wp:effectExtent l="0" t="0" r="1270" b="127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461E8265" w14:textId="77777777" w:rsidR="00DD3AB4" w:rsidRPr="00EC65D4" w:rsidRDefault="00DD3AB4" w:rsidP="00DD3AB4">
                          <w:pPr>
                            <w:jc w:val="right"/>
                            <w:rPr>
                              <w:rFonts w:ascii="Arial" w:hAnsi="Arial" w:cs="Arial"/>
                              <w:sz w:val="18"/>
                              <w:szCs w:val="18"/>
                              <w:lang w:val="fr-FR"/>
                            </w:rPr>
                          </w:pPr>
                          <w:r w:rsidRPr="00EC65D4">
                            <w:rPr>
                              <w:rFonts w:ascii="Arial" w:hAnsi="Arial" w:cs="Arial"/>
                              <w:bCs/>
                              <w:color w:val="2658A5"/>
                              <w:sz w:val="18"/>
                              <w:szCs w:val="18"/>
                              <w:lang w:val="fr-FR"/>
                            </w:rPr>
                            <w:t>Phone: +420 296 366 233</w:t>
                          </w:r>
                          <w:r w:rsidRPr="00EC65D4">
                            <w:rPr>
                              <w:rFonts w:ascii="Arial" w:hAnsi="Arial" w:cs="Arial"/>
                              <w:bCs/>
                              <w:color w:val="2658A5"/>
                              <w:sz w:val="18"/>
                              <w:szCs w:val="18"/>
                              <w:lang w:val="fr-FR"/>
                            </w:rPr>
                            <w:br/>
                            <w:t>Mobile: +420 731 553 732</w:t>
                          </w:r>
                          <w:r w:rsidRPr="00EC65D4">
                            <w:rPr>
                              <w:rFonts w:ascii="Arial" w:hAnsi="Arial" w:cs="Arial"/>
                              <w:bCs/>
                              <w:color w:val="2658A5"/>
                              <w:sz w:val="18"/>
                              <w:szCs w:val="18"/>
                              <w:lang w:val="fr-FR"/>
                            </w:rPr>
                            <w:br/>
                            <w:t>E-mail: mluvci@coi.gov.cz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011DA92A" id="_x0000_t202" coordsize="21600,21600" o:spt="202" path="m,l,21600r21600,l21600,xe">
              <v:stroke joinstyle="miter"/>
              <v:path gradientshapeok="t" o:connecttype="rect"/>
            </v:shapetype>
            <v:shape id="Textové pole 2" o:spid="_x0000_s1026" type="#_x0000_t202" style="position:absolute;left:0;text-align:left;margin-left:273.4pt;margin-top:.8pt;width:185.95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" stroked="f">
              <v:textbox style="mso-fit-shape-to-text:t">
                <w:txbxContent>
                  <w:p w14:paraId="461E8265" w14:textId="77777777" w:rsidR="00DD3AB4" w:rsidRPr="00EC65D4" w:rsidRDefault="00DD3AB4" w:rsidP="00DD3AB4">
                    <w:pPr>
                      <w:jc w:val="right"/>
                      <w:rPr>
                        <w:rFonts w:ascii="Arial" w:hAnsi="Arial" w:cs="Arial"/>
                        <w:sz w:val="18"/>
                        <w:szCs w:val="18"/>
                        <w:lang w:val="fr-FR"/>
                      </w:rPr>
                    </w:pPr>
                    <w:r w:rsidRPr="00EC65D4">
                      <w:rPr>
                        <w:rFonts w:ascii="Arial" w:hAnsi="Arial" w:cs="Arial"/>
                        <w:bCs/>
                        <w:color w:val="2658A5"/>
                        <w:sz w:val="18"/>
                        <w:szCs w:val="18"/>
                        <w:lang w:val="fr-FR"/>
                      </w:rPr>
                      <w:t>Phone: +420 296 366 233</w:t>
                    </w:r>
                    <w:r w:rsidRPr="00EC65D4">
                      <w:rPr>
                        <w:rFonts w:ascii="Arial" w:hAnsi="Arial" w:cs="Arial"/>
                        <w:bCs/>
                        <w:color w:val="2658A5"/>
                        <w:sz w:val="18"/>
                        <w:szCs w:val="18"/>
                        <w:lang w:val="fr-FR"/>
                      </w:rPr>
                      <w:br/>
                      <w:t>Mobile: +420 731 553 732</w:t>
                    </w:r>
                    <w:r w:rsidRPr="00EC65D4">
                      <w:rPr>
                        <w:rFonts w:ascii="Arial" w:hAnsi="Arial" w:cs="Arial"/>
                        <w:bCs/>
                        <w:color w:val="2658A5"/>
                        <w:sz w:val="18"/>
                        <w:szCs w:val="18"/>
                        <w:lang w:val="fr-FR"/>
                      </w:rPr>
                      <w:br/>
                      <w:t>E-mail: mluvci@coi.gov.cz</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1D1A5445" wp14:editId="161F9969">
              <wp:simplePos x="0" y="0"/>
              <wp:positionH relativeFrom="column">
                <wp:posOffset>-109220</wp:posOffset>
              </wp:positionH>
              <wp:positionV relativeFrom="paragraph">
                <wp:posOffset>7620</wp:posOffset>
              </wp:positionV>
              <wp:extent cx="2085975" cy="1404620"/>
              <wp:effectExtent l="0" t="0" r="9525" b="9525"/>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4620"/>
                      </a:xfrm>
                      <a:prstGeom prst="rect">
                        <a:avLst/>
                      </a:prstGeom>
                      <a:solidFill>
                        <a:srgbClr val="FFFFFF"/>
                      </a:solidFill>
                      <a:ln w="9525">
                        <a:noFill/>
                        <a:miter lim="800000"/>
                        <a:headEnd/>
                        <a:tailEnd/>
                      </a:ln>
                    </wps:spPr>
                    <wps:txbx>
                      <w:txbxContent>
                        <w:p w14:paraId="1B7D47C2" w14:textId="77777777" w:rsidR="00DD3AB4" w:rsidRPr="00DC6D14" w:rsidRDefault="00DD3AB4" w:rsidP="00DD3AB4">
                          <w:pPr>
                            <w:rPr>
                              <w:rFonts w:ascii="Arial" w:hAnsi="Arial" w:cs="Arial"/>
                              <w:sz w:val="18"/>
                              <w:szCs w:val="18"/>
                              <w:lang w:val="en-GB"/>
                            </w:rPr>
                          </w:pPr>
                          <w:r w:rsidRPr="00DC6D14">
                            <w:rPr>
                              <w:rFonts w:ascii="Arial" w:hAnsi="Arial" w:cs="Arial"/>
                              <w:color w:val="2658A5"/>
                              <w:sz w:val="18"/>
                              <w:szCs w:val="18"/>
                              <w:lang w:val="en-GB"/>
                            </w:rPr>
                            <w:t>Contact: Spokesperson of the CTIA</w:t>
                          </w:r>
                          <w:r w:rsidRPr="00DC6D14">
                            <w:rPr>
                              <w:rFonts w:ascii="Arial" w:hAnsi="Arial" w:cs="Arial"/>
                              <w:color w:val="2658A5"/>
                              <w:sz w:val="18"/>
                              <w:szCs w:val="18"/>
                              <w:lang w:val="en-GB"/>
                            </w:rPr>
                            <w:br/>
                            <w:t>Mgr. 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1D1A5445" id="_x0000_s1027" type="#_x0000_t202" style="position:absolute;left:0;text-align:left;margin-left:-8.6pt;margin-top:.6pt;width:164.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" stroked="f">
              <v:textbox style="mso-fit-shape-to-text:t">
                <w:txbxContent>
                  <w:p w14:paraId="1B7D47C2" w14:textId="77777777" w:rsidR="00DD3AB4" w:rsidRPr="00DC6D14" w:rsidRDefault="00DD3AB4" w:rsidP="00DD3AB4">
                    <w:pPr>
                      <w:rPr>
                        <w:rFonts w:ascii="Arial" w:hAnsi="Arial" w:cs="Arial"/>
                        <w:sz w:val="18"/>
                        <w:szCs w:val="18"/>
                        <w:lang w:val="en-GB"/>
                      </w:rPr>
                    </w:pPr>
                    <w:r w:rsidRPr="00DC6D14">
                      <w:rPr>
                        <w:rFonts w:ascii="Arial" w:hAnsi="Arial" w:cs="Arial"/>
                        <w:color w:val="2658A5"/>
                        <w:sz w:val="18"/>
                        <w:szCs w:val="18"/>
                        <w:lang w:val="en-GB"/>
                      </w:rPr>
                      <w:t>Contact: Spokesperson of the CTIA</w:t>
                    </w:r>
                    <w:r w:rsidRPr="00DC6D14">
                      <w:rPr>
                        <w:rFonts w:ascii="Arial" w:hAnsi="Arial" w:cs="Arial"/>
                        <w:color w:val="2658A5"/>
                        <w:sz w:val="18"/>
                        <w:szCs w:val="18"/>
                        <w:lang w:val="en-GB"/>
                      </w:rPr>
                      <w:br/>
                      <w:t>Mgr. František Kotrba</w:t>
                    </w:r>
                  </w:p>
                </w:txbxContent>
              </v:textbox>
            </v:shape>
          </w:pict>
        </mc:Fallback>
      </mc:AlternateContent>
    </w:r>
  </w:p>
  <w:p w14:paraId="2E86EAD4" w14:textId="77777777" w:rsidR="00F34A6A" w:rsidRPr="00DD3AB4" w:rsidRDefault="00F34A6A" w:rsidP="00DD3A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39EC" w14:textId="77777777" w:rsidR="00F9772E" w:rsidRDefault="00F9772E" w:rsidP="00807D68">
      <w:pPr>
        <w:spacing w:after="0" w:line="240" w:lineRule="auto"/>
      </w:pPr>
      <w:r>
        <w:separator/>
      </w:r>
    </w:p>
  </w:footnote>
  <w:footnote w:type="continuationSeparator" w:id="0">
    <w:p w14:paraId="5607D26A" w14:textId="77777777" w:rsidR="00F9772E" w:rsidRDefault="00F9772E"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F505" w14:textId="77777777" w:rsidR="00807D68" w:rsidRDefault="00807D68">
    <w:pPr>
      <w:pStyle w:val="Zhlav"/>
    </w:pPr>
  </w:p>
  <w:p w14:paraId="03206D20" w14:textId="77777777" w:rsidR="00807D68" w:rsidRDefault="00807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7C75"/>
    <w:multiLevelType w:val="hybridMultilevel"/>
    <w:tmpl w:val="F034B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372A1"/>
    <w:multiLevelType w:val="hybridMultilevel"/>
    <w:tmpl w:val="F790D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C6535B"/>
    <w:multiLevelType w:val="hybridMultilevel"/>
    <w:tmpl w:val="77067FCE"/>
    <w:lvl w:ilvl="0" w:tplc="A2E47128">
      <w:start w:val="13"/>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D535DF6"/>
    <w:multiLevelType w:val="hybridMultilevel"/>
    <w:tmpl w:val="FA3A331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0041CC2"/>
    <w:multiLevelType w:val="hybridMultilevel"/>
    <w:tmpl w:val="9ABC8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FB158A"/>
    <w:multiLevelType w:val="hybridMultilevel"/>
    <w:tmpl w:val="E362D29E"/>
    <w:lvl w:ilvl="0" w:tplc="90184EF8">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6" w15:restartNumberingAfterBreak="0">
    <w:nsid w:val="1CD43469"/>
    <w:multiLevelType w:val="hybridMultilevel"/>
    <w:tmpl w:val="79FE67E8"/>
    <w:lvl w:ilvl="0" w:tplc="CA5831C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771E44"/>
    <w:multiLevelType w:val="hybridMultilevel"/>
    <w:tmpl w:val="86C49B60"/>
    <w:lvl w:ilvl="0" w:tplc="352E771C">
      <w:start w:val="1"/>
      <w:numFmt w:val="lowerLetter"/>
      <w:lvlText w:val="%1)"/>
      <w:lvlJc w:val="left"/>
      <w:pPr>
        <w:ind w:left="345" w:hanging="360"/>
      </w:pPr>
      <w:rPr>
        <w:rFonts w:ascii="Arial" w:eastAsiaTheme="minorHAnsi" w:hAnsi="Arial" w:cs="Arial"/>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8" w15:restartNumberingAfterBreak="0">
    <w:nsid w:val="2988097F"/>
    <w:multiLevelType w:val="hybridMultilevel"/>
    <w:tmpl w:val="DF9AB0D8"/>
    <w:lvl w:ilvl="0" w:tplc="066234B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9" w15:restartNumberingAfterBreak="0">
    <w:nsid w:val="3F5A1D76"/>
    <w:multiLevelType w:val="hybridMultilevel"/>
    <w:tmpl w:val="9BCA0DBC"/>
    <w:lvl w:ilvl="0" w:tplc="66261D70">
      <w:start w:val="1"/>
      <w:numFmt w:val="bullet"/>
      <w:lvlText w:val="-"/>
      <w:lvlJc w:val="left"/>
      <w:pPr>
        <w:ind w:left="345" w:hanging="360"/>
      </w:pPr>
      <w:rPr>
        <w:rFonts w:ascii="Arial" w:eastAsiaTheme="minorHAnsi" w:hAnsi="Arial" w:cs="Arial"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10" w15:restartNumberingAfterBreak="0">
    <w:nsid w:val="46882194"/>
    <w:multiLevelType w:val="hybridMultilevel"/>
    <w:tmpl w:val="09B49B16"/>
    <w:lvl w:ilvl="0" w:tplc="3F30627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1" w15:restartNumberingAfterBreak="0">
    <w:nsid w:val="4DFB6B78"/>
    <w:multiLevelType w:val="hybridMultilevel"/>
    <w:tmpl w:val="6D1AD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E46094"/>
    <w:multiLevelType w:val="hybridMultilevel"/>
    <w:tmpl w:val="0666F1F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Courier New"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Courier New"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Courier New"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69BC2EA4"/>
    <w:multiLevelType w:val="hybridMultilevel"/>
    <w:tmpl w:val="1D1C3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A004778"/>
    <w:multiLevelType w:val="hybridMultilevel"/>
    <w:tmpl w:val="F41A51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A395D18"/>
    <w:multiLevelType w:val="hybridMultilevel"/>
    <w:tmpl w:val="C9160142"/>
    <w:lvl w:ilvl="0" w:tplc="90F21DCE">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6" w15:restartNumberingAfterBreak="0">
    <w:nsid w:val="6EE815A3"/>
    <w:multiLevelType w:val="hybridMultilevel"/>
    <w:tmpl w:val="F81CF32C"/>
    <w:lvl w:ilvl="0" w:tplc="65A26D1A">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81146828">
    <w:abstractNumId w:val="3"/>
  </w:num>
  <w:num w:numId="2" w16cid:durableId="530731445">
    <w:abstractNumId w:val="13"/>
  </w:num>
  <w:num w:numId="3" w16cid:durableId="1586256584">
    <w:abstractNumId w:val="7"/>
  </w:num>
  <w:num w:numId="4" w16cid:durableId="1174765200">
    <w:abstractNumId w:val="15"/>
  </w:num>
  <w:num w:numId="5" w16cid:durableId="2019036455">
    <w:abstractNumId w:val="16"/>
  </w:num>
  <w:num w:numId="6" w16cid:durableId="1632055770">
    <w:abstractNumId w:val="9"/>
  </w:num>
  <w:num w:numId="7" w16cid:durableId="1007245576">
    <w:abstractNumId w:val="8"/>
  </w:num>
  <w:num w:numId="8" w16cid:durableId="1485046548">
    <w:abstractNumId w:val="5"/>
  </w:num>
  <w:num w:numId="9" w16cid:durableId="538981167">
    <w:abstractNumId w:val="10"/>
  </w:num>
  <w:num w:numId="10" w16cid:durableId="1237589817">
    <w:abstractNumId w:val="6"/>
  </w:num>
  <w:num w:numId="11" w16cid:durableId="76370153">
    <w:abstractNumId w:val="12"/>
  </w:num>
  <w:num w:numId="12" w16cid:durableId="662586691">
    <w:abstractNumId w:val="14"/>
  </w:num>
  <w:num w:numId="13" w16cid:durableId="2031255231">
    <w:abstractNumId w:val="1"/>
  </w:num>
  <w:num w:numId="14" w16cid:durableId="1305038528">
    <w:abstractNumId w:val="0"/>
  </w:num>
  <w:num w:numId="15" w16cid:durableId="108088496">
    <w:abstractNumId w:val="4"/>
  </w:num>
  <w:num w:numId="16" w16cid:durableId="797141445">
    <w:abstractNumId w:val="2"/>
  </w:num>
  <w:num w:numId="17" w16cid:durableId="8696870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7B29"/>
    <w:rsid w:val="00032DB2"/>
    <w:rsid w:val="00056E6A"/>
    <w:rsid w:val="000741E3"/>
    <w:rsid w:val="00080F87"/>
    <w:rsid w:val="000B3C18"/>
    <w:rsid w:val="000B3ECB"/>
    <w:rsid w:val="000C4CFD"/>
    <w:rsid w:val="000D0608"/>
    <w:rsid w:val="000D42A4"/>
    <w:rsid w:val="000E28FA"/>
    <w:rsid w:val="000E2C64"/>
    <w:rsid w:val="00104F91"/>
    <w:rsid w:val="00106D35"/>
    <w:rsid w:val="0010721B"/>
    <w:rsid w:val="00110D94"/>
    <w:rsid w:val="00142850"/>
    <w:rsid w:val="00143E7B"/>
    <w:rsid w:val="001472E1"/>
    <w:rsid w:val="00152827"/>
    <w:rsid w:val="00167F18"/>
    <w:rsid w:val="001725B9"/>
    <w:rsid w:val="00192BDE"/>
    <w:rsid w:val="001A5542"/>
    <w:rsid w:val="001B5AEA"/>
    <w:rsid w:val="001C38DE"/>
    <w:rsid w:val="001D0E07"/>
    <w:rsid w:val="001D158E"/>
    <w:rsid w:val="001D5235"/>
    <w:rsid w:val="001D70FD"/>
    <w:rsid w:val="001F1C2B"/>
    <w:rsid w:val="002012CC"/>
    <w:rsid w:val="00202C1F"/>
    <w:rsid w:val="00203A47"/>
    <w:rsid w:val="00216D31"/>
    <w:rsid w:val="00225F02"/>
    <w:rsid w:val="00237FB7"/>
    <w:rsid w:val="00244D0C"/>
    <w:rsid w:val="00265A43"/>
    <w:rsid w:val="002726E7"/>
    <w:rsid w:val="0027341A"/>
    <w:rsid w:val="002747E8"/>
    <w:rsid w:val="002B7C92"/>
    <w:rsid w:val="002C050A"/>
    <w:rsid w:val="002C2749"/>
    <w:rsid w:val="002D51F8"/>
    <w:rsid w:val="002F24D5"/>
    <w:rsid w:val="0030473A"/>
    <w:rsid w:val="0031341A"/>
    <w:rsid w:val="00350179"/>
    <w:rsid w:val="00363379"/>
    <w:rsid w:val="00363EF4"/>
    <w:rsid w:val="00371D83"/>
    <w:rsid w:val="0037728A"/>
    <w:rsid w:val="00381CD3"/>
    <w:rsid w:val="003C31B3"/>
    <w:rsid w:val="003D63F0"/>
    <w:rsid w:val="003E1F02"/>
    <w:rsid w:val="003E3B85"/>
    <w:rsid w:val="003F2528"/>
    <w:rsid w:val="003F38A9"/>
    <w:rsid w:val="0041440B"/>
    <w:rsid w:val="004215C3"/>
    <w:rsid w:val="00432A70"/>
    <w:rsid w:val="0043419B"/>
    <w:rsid w:val="00442AD9"/>
    <w:rsid w:val="0046373B"/>
    <w:rsid w:val="004738FA"/>
    <w:rsid w:val="00493D8C"/>
    <w:rsid w:val="00494ACB"/>
    <w:rsid w:val="0049637D"/>
    <w:rsid w:val="004D4633"/>
    <w:rsid w:val="004E28F6"/>
    <w:rsid w:val="004F3AA9"/>
    <w:rsid w:val="00506781"/>
    <w:rsid w:val="00526090"/>
    <w:rsid w:val="00542FF9"/>
    <w:rsid w:val="00545961"/>
    <w:rsid w:val="005545CE"/>
    <w:rsid w:val="00554B38"/>
    <w:rsid w:val="005675B6"/>
    <w:rsid w:val="005702A5"/>
    <w:rsid w:val="00572CFD"/>
    <w:rsid w:val="00577B57"/>
    <w:rsid w:val="005837B9"/>
    <w:rsid w:val="00590485"/>
    <w:rsid w:val="005923C5"/>
    <w:rsid w:val="00592C1D"/>
    <w:rsid w:val="0059503F"/>
    <w:rsid w:val="005A0FA4"/>
    <w:rsid w:val="005A3A49"/>
    <w:rsid w:val="005B2A55"/>
    <w:rsid w:val="005C435F"/>
    <w:rsid w:val="005D105B"/>
    <w:rsid w:val="005D4572"/>
    <w:rsid w:val="005E159D"/>
    <w:rsid w:val="005E3D23"/>
    <w:rsid w:val="005F2FA1"/>
    <w:rsid w:val="005F32B4"/>
    <w:rsid w:val="005F776A"/>
    <w:rsid w:val="005F7F53"/>
    <w:rsid w:val="0060731F"/>
    <w:rsid w:val="0061127C"/>
    <w:rsid w:val="006155D3"/>
    <w:rsid w:val="00622D99"/>
    <w:rsid w:val="00653A86"/>
    <w:rsid w:val="00656822"/>
    <w:rsid w:val="00663C7B"/>
    <w:rsid w:val="00665442"/>
    <w:rsid w:val="00681DA5"/>
    <w:rsid w:val="006874B0"/>
    <w:rsid w:val="006A242B"/>
    <w:rsid w:val="006B7269"/>
    <w:rsid w:val="006C77CE"/>
    <w:rsid w:val="006D345A"/>
    <w:rsid w:val="006D428D"/>
    <w:rsid w:val="006D63A3"/>
    <w:rsid w:val="006E3BFD"/>
    <w:rsid w:val="006F283A"/>
    <w:rsid w:val="006F6413"/>
    <w:rsid w:val="0070124B"/>
    <w:rsid w:val="00730EF5"/>
    <w:rsid w:val="0073117A"/>
    <w:rsid w:val="00732FF8"/>
    <w:rsid w:val="00735C36"/>
    <w:rsid w:val="00752488"/>
    <w:rsid w:val="00771930"/>
    <w:rsid w:val="00771BEF"/>
    <w:rsid w:val="00775050"/>
    <w:rsid w:val="00777C82"/>
    <w:rsid w:val="007A24C3"/>
    <w:rsid w:val="007A6788"/>
    <w:rsid w:val="007B6434"/>
    <w:rsid w:val="007C3195"/>
    <w:rsid w:val="007C40CF"/>
    <w:rsid w:val="007D6282"/>
    <w:rsid w:val="007D6665"/>
    <w:rsid w:val="007E06F7"/>
    <w:rsid w:val="007E237F"/>
    <w:rsid w:val="00800C10"/>
    <w:rsid w:val="008078D2"/>
    <w:rsid w:val="00807D68"/>
    <w:rsid w:val="00831A20"/>
    <w:rsid w:val="0084477F"/>
    <w:rsid w:val="00855928"/>
    <w:rsid w:val="008632A4"/>
    <w:rsid w:val="008678C7"/>
    <w:rsid w:val="00885497"/>
    <w:rsid w:val="00890135"/>
    <w:rsid w:val="0089254F"/>
    <w:rsid w:val="008A5014"/>
    <w:rsid w:val="008A65F3"/>
    <w:rsid w:val="008F22C0"/>
    <w:rsid w:val="00904CB2"/>
    <w:rsid w:val="0090767D"/>
    <w:rsid w:val="009145E5"/>
    <w:rsid w:val="00917CF5"/>
    <w:rsid w:val="0092339C"/>
    <w:rsid w:val="009266E9"/>
    <w:rsid w:val="00955DA0"/>
    <w:rsid w:val="0097055F"/>
    <w:rsid w:val="00970F06"/>
    <w:rsid w:val="00971704"/>
    <w:rsid w:val="00972523"/>
    <w:rsid w:val="00984F22"/>
    <w:rsid w:val="00993300"/>
    <w:rsid w:val="00996E4B"/>
    <w:rsid w:val="009C1345"/>
    <w:rsid w:val="009C191D"/>
    <w:rsid w:val="009C71B9"/>
    <w:rsid w:val="009D1264"/>
    <w:rsid w:val="009D359A"/>
    <w:rsid w:val="009E32D6"/>
    <w:rsid w:val="009F07C3"/>
    <w:rsid w:val="009F2D9C"/>
    <w:rsid w:val="00A04DA8"/>
    <w:rsid w:val="00A05D3A"/>
    <w:rsid w:val="00A125E2"/>
    <w:rsid w:val="00A161BD"/>
    <w:rsid w:val="00A252A5"/>
    <w:rsid w:val="00A3103B"/>
    <w:rsid w:val="00A57931"/>
    <w:rsid w:val="00A66848"/>
    <w:rsid w:val="00A81783"/>
    <w:rsid w:val="00A95A44"/>
    <w:rsid w:val="00AD2EE9"/>
    <w:rsid w:val="00AD5BED"/>
    <w:rsid w:val="00AE4B97"/>
    <w:rsid w:val="00B058DB"/>
    <w:rsid w:val="00B07ABF"/>
    <w:rsid w:val="00B205BA"/>
    <w:rsid w:val="00B20F24"/>
    <w:rsid w:val="00B30208"/>
    <w:rsid w:val="00B36B9E"/>
    <w:rsid w:val="00B40171"/>
    <w:rsid w:val="00B44F4B"/>
    <w:rsid w:val="00B74E4D"/>
    <w:rsid w:val="00B8039C"/>
    <w:rsid w:val="00B81A84"/>
    <w:rsid w:val="00B826A3"/>
    <w:rsid w:val="00B97A9C"/>
    <w:rsid w:val="00BA1B26"/>
    <w:rsid w:val="00BC1B19"/>
    <w:rsid w:val="00BD02A1"/>
    <w:rsid w:val="00BE29F2"/>
    <w:rsid w:val="00BF45C5"/>
    <w:rsid w:val="00BF5CA1"/>
    <w:rsid w:val="00C03B41"/>
    <w:rsid w:val="00C05AC6"/>
    <w:rsid w:val="00C241B4"/>
    <w:rsid w:val="00C41758"/>
    <w:rsid w:val="00C43D14"/>
    <w:rsid w:val="00C4704F"/>
    <w:rsid w:val="00C52741"/>
    <w:rsid w:val="00C703B4"/>
    <w:rsid w:val="00C764AC"/>
    <w:rsid w:val="00C81B8D"/>
    <w:rsid w:val="00C937E8"/>
    <w:rsid w:val="00C95A5E"/>
    <w:rsid w:val="00C97D46"/>
    <w:rsid w:val="00CA0376"/>
    <w:rsid w:val="00CA2F94"/>
    <w:rsid w:val="00CA4F0B"/>
    <w:rsid w:val="00CB178A"/>
    <w:rsid w:val="00CD11D7"/>
    <w:rsid w:val="00CE0230"/>
    <w:rsid w:val="00CE40CA"/>
    <w:rsid w:val="00CF6F01"/>
    <w:rsid w:val="00D00046"/>
    <w:rsid w:val="00D100A7"/>
    <w:rsid w:val="00D2107A"/>
    <w:rsid w:val="00D230ED"/>
    <w:rsid w:val="00D329DD"/>
    <w:rsid w:val="00D33380"/>
    <w:rsid w:val="00D353B4"/>
    <w:rsid w:val="00D40E2F"/>
    <w:rsid w:val="00D52A8C"/>
    <w:rsid w:val="00D66CD2"/>
    <w:rsid w:val="00D763A0"/>
    <w:rsid w:val="00D82F55"/>
    <w:rsid w:val="00D8316C"/>
    <w:rsid w:val="00D9213D"/>
    <w:rsid w:val="00D925B3"/>
    <w:rsid w:val="00D966A5"/>
    <w:rsid w:val="00DB284A"/>
    <w:rsid w:val="00DC5B7E"/>
    <w:rsid w:val="00DC7927"/>
    <w:rsid w:val="00DD12CD"/>
    <w:rsid w:val="00DD2479"/>
    <w:rsid w:val="00DD3AB4"/>
    <w:rsid w:val="00DD6209"/>
    <w:rsid w:val="00DE3A3F"/>
    <w:rsid w:val="00E01D17"/>
    <w:rsid w:val="00E17BF0"/>
    <w:rsid w:val="00E27FB5"/>
    <w:rsid w:val="00E44096"/>
    <w:rsid w:val="00E53779"/>
    <w:rsid w:val="00E561BC"/>
    <w:rsid w:val="00E8436F"/>
    <w:rsid w:val="00E90D9C"/>
    <w:rsid w:val="00EA0341"/>
    <w:rsid w:val="00EA1D75"/>
    <w:rsid w:val="00EA39B4"/>
    <w:rsid w:val="00EC0129"/>
    <w:rsid w:val="00ED4CDF"/>
    <w:rsid w:val="00EF3E1F"/>
    <w:rsid w:val="00F02F46"/>
    <w:rsid w:val="00F168AF"/>
    <w:rsid w:val="00F34A6A"/>
    <w:rsid w:val="00F4039A"/>
    <w:rsid w:val="00F4644A"/>
    <w:rsid w:val="00F53754"/>
    <w:rsid w:val="00F53C17"/>
    <w:rsid w:val="00F55D33"/>
    <w:rsid w:val="00F601DE"/>
    <w:rsid w:val="00F70689"/>
    <w:rsid w:val="00F70880"/>
    <w:rsid w:val="00F9772E"/>
    <w:rsid w:val="00FA138F"/>
    <w:rsid w:val="00FA637F"/>
    <w:rsid w:val="00FB39B8"/>
    <w:rsid w:val="00FD0861"/>
    <w:rsid w:val="00FE35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F53C17"/>
    <w:pPr>
      <w:spacing w:after="200" w:line="276" w:lineRule="auto"/>
      <w:ind w:left="720"/>
      <w:contextualSpacing/>
    </w:pPr>
    <w:rPr>
      <w:rFonts w:ascii="Calibri" w:eastAsia="Calibri" w:hAnsi="Calibri" w:cs="Times New Roman"/>
    </w:rPr>
  </w:style>
  <w:style w:type="paragraph" w:styleId="Bezmezer">
    <w:name w:val="No Spacing"/>
    <w:link w:val="BezmezerChar"/>
    <w:uiPriority w:val="1"/>
    <w:qFormat/>
    <w:rsid w:val="006D428D"/>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locked/>
    <w:rsid w:val="006D428D"/>
    <w:rPr>
      <w:rFonts w:ascii="Times New Roman" w:eastAsia="Times New Roman" w:hAnsi="Times New Roman" w:cs="Times New Roman"/>
      <w:sz w:val="24"/>
      <w:szCs w:val="24"/>
      <w:lang w:eastAsia="cs-CZ"/>
    </w:rPr>
  </w:style>
  <w:style w:type="paragraph" w:styleId="Revize">
    <w:name w:val="Revision"/>
    <w:hidden/>
    <w:uiPriority w:val="99"/>
    <w:semiHidden/>
    <w:rsid w:val="000E28FA"/>
    <w:pPr>
      <w:spacing w:after="0" w:line="240" w:lineRule="auto"/>
    </w:pPr>
  </w:style>
  <w:style w:type="character" w:styleId="Odkaznakoment">
    <w:name w:val="annotation reference"/>
    <w:basedOn w:val="Standardnpsmoodstavce"/>
    <w:uiPriority w:val="99"/>
    <w:semiHidden/>
    <w:unhideWhenUsed/>
    <w:rsid w:val="00777C82"/>
    <w:rPr>
      <w:sz w:val="16"/>
      <w:szCs w:val="16"/>
    </w:rPr>
  </w:style>
  <w:style w:type="paragraph" w:styleId="Textkomente">
    <w:name w:val="annotation text"/>
    <w:basedOn w:val="Normln"/>
    <w:link w:val="TextkomenteChar"/>
    <w:uiPriority w:val="99"/>
    <w:unhideWhenUsed/>
    <w:rsid w:val="00777C82"/>
    <w:pPr>
      <w:spacing w:line="240" w:lineRule="auto"/>
    </w:pPr>
    <w:rPr>
      <w:sz w:val="20"/>
      <w:szCs w:val="20"/>
    </w:rPr>
  </w:style>
  <w:style w:type="character" w:customStyle="1" w:styleId="TextkomenteChar">
    <w:name w:val="Text komentáře Char"/>
    <w:basedOn w:val="Standardnpsmoodstavce"/>
    <w:link w:val="Textkomente"/>
    <w:uiPriority w:val="99"/>
    <w:rsid w:val="00777C82"/>
    <w:rPr>
      <w:sz w:val="20"/>
      <w:szCs w:val="20"/>
    </w:rPr>
  </w:style>
  <w:style w:type="paragraph" w:styleId="Pedmtkomente">
    <w:name w:val="annotation subject"/>
    <w:basedOn w:val="Textkomente"/>
    <w:next w:val="Textkomente"/>
    <w:link w:val="PedmtkomenteChar"/>
    <w:uiPriority w:val="99"/>
    <w:semiHidden/>
    <w:unhideWhenUsed/>
    <w:rsid w:val="00777C82"/>
    <w:rPr>
      <w:b/>
      <w:bCs/>
    </w:rPr>
  </w:style>
  <w:style w:type="character" w:customStyle="1" w:styleId="PedmtkomenteChar">
    <w:name w:val="Předmět komentáře Char"/>
    <w:basedOn w:val="TextkomenteChar"/>
    <w:link w:val="Pedmtkomente"/>
    <w:uiPriority w:val="99"/>
    <w:semiHidden/>
    <w:rsid w:val="00777C82"/>
    <w:rPr>
      <w:b/>
      <w:bCs/>
      <w:sz w:val="20"/>
      <w:szCs w:val="20"/>
    </w:rPr>
  </w:style>
  <w:style w:type="character" w:styleId="Hypertextovodkaz">
    <w:name w:val="Hyperlink"/>
    <w:basedOn w:val="Standardnpsmoodstavce"/>
    <w:uiPriority w:val="99"/>
    <w:unhideWhenUsed/>
    <w:rsid w:val="00442AD9"/>
    <w:rPr>
      <w:color w:val="0563C1" w:themeColor="hyperlink"/>
      <w:u w:val="single"/>
    </w:rPr>
  </w:style>
  <w:style w:type="character" w:styleId="Nevyeenzmnka">
    <w:name w:val="Unresolved Mention"/>
    <w:basedOn w:val="Standardnpsmoodstavce"/>
    <w:uiPriority w:val="99"/>
    <w:semiHidden/>
    <w:unhideWhenUsed/>
    <w:rsid w:val="00442AD9"/>
    <w:rPr>
      <w:color w:val="605E5C"/>
      <w:shd w:val="clear" w:color="auto" w:fill="E1DFDD"/>
    </w:rPr>
  </w:style>
  <w:style w:type="character" w:styleId="Sledovanodkaz">
    <w:name w:val="FollowedHyperlink"/>
    <w:basedOn w:val="Standardnpsmoodstavce"/>
    <w:uiPriority w:val="99"/>
    <w:semiHidden/>
    <w:unhideWhenUsed/>
    <w:rsid w:val="00442A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26743">
      <w:bodyDiv w:val="1"/>
      <w:marLeft w:val="0"/>
      <w:marRight w:val="0"/>
      <w:marTop w:val="0"/>
      <w:marBottom w:val="0"/>
      <w:divBdr>
        <w:top w:val="none" w:sz="0" w:space="0" w:color="auto"/>
        <w:left w:val="none" w:sz="0" w:space="0" w:color="auto"/>
        <w:bottom w:val="none" w:sz="0" w:space="0" w:color="auto"/>
        <w:right w:val="none" w:sz="0" w:space="0" w:color="auto"/>
      </w:divBdr>
    </w:div>
    <w:div w:id="598296968">
      <w:bodyDiv w:val="1"/>
      <w:marLeft w:val="0"/>
      <w:marRight w:val="0"/>
      <w:marTop w:val="0"/>
      <w:marBottom w:val="0"/>
      <w:divBdr>
        <w:top w:val="none" w:sz="0" w:space="0" w:color="auto"/>
        <w:left w:val="none" w:sz="0" w:space="0" w:color="auto"/>
        <w:bottom w:val="none" w:sz="0" w:space="0" w:color="auto"/>
        <w:right w:val="none" w:sz="0" w:space="0" w:color="auto"/>
      </w:divBdr>
    </w:div>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153638430">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i.gov.cz/en/extraordinary-inspection-action-alcohol-drugs-and-youth-2025-again-revealed-the-sale-of-alcohol-and-tobacco-products-to-juvenile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1160</Words>
  <Characters>6845</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Tichota Ondřej, Mgr., DiS.</cp:lastModifiedBy>
  <cp:revision>6</cp:revision>
  <cp:lastPrinted>2026-03-18T08:10:00Z</cp:lastPrinted>
  <dcterms:created xsi:type="dcterms:W3CDTF">2026-03-27T07:00:00Z</dcterms:created>
  <dcterms:modified xsi:type="dcterms:W3CDTF">2026-03-27T07:03:00Z</dcterms:modified>
</cp:coreProperties>
</file>