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0968BCE5" w14:textId="75DFF58C" w:rsidR="001B5AC0" w:rsidRPr="001B5AC0" w:rsidRDefault="004E1767" w:rsidP="003E3B85">
      <w:pPr>
        <w:jc w:val="both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>Cílené k</w:t>
      </w:r>
      <w:r w:rsidR="00A77801">
        <w:rPr>
          <w:rFonts w:ascii="Arial" w:hAnsi="Arial" w:cs="Arial"/>
          <w:b/>
          <w:bCs/>
          <w:color w:val="2658A5"/>
          <w:sz w:val="32"/>
          <w:szCs w:val="32"/>
        </w:rPr>
        <w:t>ontrol</w:t>
      </w:r>
      <w:r w:rsidR="00FA283B">
        <w:rPr>
          <w:rFonts w:ascii="Arial" w:hAnsi="Arial" w:cs="Arial"/>
          <w:b/>
          <w:bCs/>
          <w:color w:val="2658A5"/>
          <w:sz w:val="32"/>
          <w:szCs w:val="32"/>
        </w:rPr>
        <w:t>y</w:t>
      </w:r>
      <w:r w:rsidR="00A77801">
        <w:rPr>
          <w:rFonts w:ascii="Arial" w:hAnsi="Arial" w:cs="Arial"/>
          <w:b/>
          <w:bCs/>
          <w:color w:val="2658A5"/>
          <w:sz w:val="32"/>
          <w:szCs w:val="32"/>
        </w:rPr>
        <w:t xml:space="preserve"> i</w:t>
      </w:r>
      <w:r w:rsidR="001B5AC0" w:rsidRPr="001B5AC0">
        <w:rPr>
          <w:rFonts w:ascii="Arial" w:hAnsi="Arial" w:cs="Arial"/>
          <w:b/>
          <w:bCs/>
          <w:color w:val="2658A5"/>
          <w:sz w:val="32"/>
          <w:szCs w:val="32"/>
        </w:rPr>
        <w:t>nternetov</w:t>
      </w:r>
      <w:r w:rsidR="00A77801">
        <w:rPr>
          <w:rFonts w:ascii="Arial" w:hAnsi="Arial" w:cs="Arial"/>
          <w:b/>
          <w:bCs/>
          <w:color w:val="2658A5"/>
          <w:sz w:val="32"/>
          <w:szCs w:val="32"/>
        </w:rPr>
        <w:t xml:space="preserve">ého </w:t>
      </w:r>
      <w:r w:rsidR="001B5AC0" w:rsidRPr="001B5AC0">
        <w:rPr>
          <w:rFonts w:ascii="Arial" w:hAnsi="Arial" w:cs="Arial"/>
          <w:b/>
          <w:bCs/>
          <w:color w:val="2658A5"/>
          <w:sz w:val="32"/>
          <w:szCs w:val="32"/>
        </w:rPr>
        <w:t>prodej</w:t>
      </w:r>
      <w:r w:rsidR="00A77801">
        <w:rPr>
          <w:rFonts w:ascii="Arial" w:hAnsi="Arial" w:cs="Arial"/>
          <w:b/>
          <w:bCs/>
          <w:color w:val="2658A5"/>
          <w:sz w:val="32"/>
          <w:szCs w:val="32"/>
        </w:rPr>
        <w:t xml:space="preserve">e </w:t>
      </w:r>
      <w:r w:rsidR="00001014">
        <w:rPr>
          <w:rFonts w:ascii="Arial" w:hAnsi="Arial" w:cs="Arial"/>
          <w:b/>
          <w:bCs/>
          <w:color w:val="2658A5"/>
          <w:sz w:val="32"/>
          <w:szCs w:val="32"/>
        </w:rPr>
        <w:t xml:space="preserve">odhalily </w:t>
      </w:r>
      <w:r w:rsidR="00FA283B">
        <w:rPr>
          <w:rFonts w:ascii="Arial" w:hAnsi="Arial" w:cs="Arial"/>
          <w:b/>
          <w:bCs/>
          <w:color w:val="2658A5"/>
          <w:sz w:val="32"/>
          <w:szCs w:val="32"/>
        </w:rPr>
        <w:t xml:space="preserve">v prvním čtvrtletí </w:t>
      </w:r>
      <w:r w:rsidR="00C56875">
        <w:rPr>
          <w:rFonts w:ascii="Arial" w:hAnsi="Arial" w:cs="Arial"/>
          <w:b/>
          <w:bCs/>
          <w:color w:val="2658A5"/>
          <w:sz w:val="32"/>
          <w:szCs w:val="32"/>
        </w:rPr>
        <w:t>n</w:t>
      </w:r>
      <w:r w:rsidR="00FA283B">
        <w:rPr>
          <w:rFonts w:ascii="Arial" w:hAnsi="Arial" w:cs="Arial"/>
          <w:b/>
          <w:bCs/>
          <w:color w:val="2658A5"/>
          <w:sz w:val="32"/>
          <w:szCs w:val="32"/>
        </w:rPr>
        <w:t xml:space="preserve">edostatky </w:t>
      </w:r>
      <w:r w:rsidR="00001014">
        <w:rPr>
          <w:rFonts w:ascii="Arial" w:hAnsi="Arial" w:cs="Arial"/>
          <w:b/>
          <w:bCs/>
          <w:color w:val="2658A5"/>
          <w:sz w:val="32"/>
          <w:szCs w:val="32"/>
        </w:rPr>
        <w:t>v</w:t>
      </w:r>
      <w:r w:rsidR="00DD5B23">
        <w:rPr>
          <w:rFonts w:ascii="Arial" w:hAnsi="Arial" w:cs="Arial"/>
          <w:b/>
          <w:bCs/>
          <w:color w:val="2658A5"/>
          <w:sz w:val="32"/>
          <w:szCs w:val="32"/>
        </w:rPr>
        <w:t> osmi z deseti</w:t>
      </w:r>
      <w:r w:rsidR="00680A44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936FA8">
        <w:rPr>
          <w:rFonts w:ascii="Arial" w:hAnsi="Arial" w:cs="Arial"/>
          <w:b/>
          <w:bCs/>
          <w:color w:val="2658A5"/>
          <w:sz w:val="32"/>
          <w:szCs w:val="32"/>
        </w:rPr>
        <w:t xml:space="preserve">provedených </w:t>
      </w:r>
      <w:r w:rsidR="00680A44">
        <w:rPr>
          <w:rFonts w:ascii="Arial" w:hAnsi="Arial" w:cs="Arial"/>
          <w:b/>
          <w:bCs/>
          <w:color w:val="2658A5"/>
          <w:sz w:val="32"/>
          <w:szCs w:val="32"/>
        </w:rPr>
        <w:t>kontrol</w:t>
      </w:r>
    </w:p>
    <w:p w14:paraId="1A7F5165" w14:textId="42AA8361" w:rsidR="001B5AC0" w:rsidRDefault="001B5AC0" w:rsidP="003E3B8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45592">
        <w:rPr>
          <w:rFonts w:ascii="Arial" w:hAnsi="Arial" w:cs="Arial"/>
          <w:sz w:val="20"/>
          <w:szCs w:val="20"/>
        </w:rPr>
        <w:t>(Praha</w:t>
      </w:r>
      <w:r w:rsidR="008144CB">
        <w:rPr>
          <w:rFonts w:ascii="Arial" w:hAnsi="Arial" w:cs="Arial"/>
          <w:sz w:val="20"/>
          <w:szCs w:val="20"/>
        </w:rPr>
        <w:t xml:space="preserve"> 15</w:t>
      </w:r>
      <w:r w:rsidR="0012546B">
        <w:rPr>
          <w:rFonts w:ascii="Arial" w:hAnsi="Arial" w:cs="Arial"/>
          <w:sz w:val="20"/>
          <w:szCs w:val="20"/>
        </w:rPr>
        <w:t>.</w:t>
      </w:r>
      <w:r w:rsidRPr="00F45592">
        <w:rPr>
          <w:rFonts w:ascii="Arial" w:hAnsi="Arial" w:cs="Arial"/>
          <w:sz w:val="20"/>
          <w:szCs w:val="20"/>
        </w:rPr>
        <w:t xml:space="preserve"> </w:t>
      </w:r>
      <w:r w:rsidR="002D2D0E" w:rsidRPr="00F45592">
        <w:rPr>
          <w:rFonts w:ascii="Arial" w:hAnsi="Arial" w:cs="Arial"/>
          <w:sz w:val="20"/>
          <w:szCs w:val="20"/>
        </w:rPr>
        <w:t>červen</w:t>
      </w:r>
      <w:r w:rsidR="008144CB">
        <w:rPr>
          <w:rFonts w:ascii="Arial" w:hAnsi="Arial" w:cs="Arial"/>
          <w:sz w:val="20"/>
          <w:szCs w:val="20"/>
        </w:rPr>
        <w:t>c</w:t>
      </w:r>
      <w:r w:rsidR="0012546B">
        <w:rPr>
          <w:rFonts w:ascii="Arial" w:hAnsi="Arial" w:cs="Arial"/>
          <w:sz w:val="20"/>
          <w:szCs w:val="20"/>
        </w:rPr>
        <w:t>e</w:t>
      </w:r>
      <w:r w:rsidR="002D2D0E" w:rsidRPr="00F45592">
        <w:rPr>
          <w:rFonts w:ascii="Arial" w:hAnsi="Arial" w:cs="Arial"/>
          <w:sz w:val="20"/>
          <w:szCs w:val="20"/>
        </w:rPr>
        <w:t xml:space="preserve"> </w:t>
      </w:r>
      <w:r w:rsidRPr="00F45592">
        <w:rPr>
          <w:rFonts w:ascii="Arial" w:hAnsi="Arial" w:cs="Arial"/>
          <w:sz w:val="20"/>
          <w:szCs w:val="20"/>
        </w:rPr>
        <w:t>2026)</w:t>
      </w:r>
      <w:r w:rsidRPr="001B5AC0">
        <w:rPr>
          <w:rFonts w:ascii="Arial" w:hAnsi="Arial" w:cs="Arial"/>
          <w:b/>
          <w:bCs/>
          <w:sz w:val="20"/>
          <w:szCs w:val="20"/>
        </w:rPr>
        <w:t xml:space="preserve"> Česká obchodní inspekce </w:t>
      </w:r>
      <w:r w:rsidR="004A0FA9">
        <w:rPr>
          <w:rFonts w:ascii="Arial" w:hAnsi="Arial" w:cs="Arial"/>
          <w:b/>
          <w:bCs/>
          <w:sz w:val="20"/>
          <w:szCs w:val="20"/>
        </w:rPr>
        <w:t xml:space="preserve">pokračovala </w:t>
      </w:r>
      <w:r w:rsidR="00316FCD">
        <w:rPr>
          <w:rFonts w:ascii="Arial" w:hAnsi="Arial" w:cs="Arial"/>
          <w:b/>
          <w:bCs/>
          <w:sz w:val="20"/>
          <w:szCs w:val="20"/>
        </w:rPr>
        <w:t>v prvním čt</w:t>
      </w:r>
      <w:r w:rsidRPr="001B5AC0">
        <w:rPr>
          <w:rFonts w:ascii="Arial" w:hAnsi="Arial" w:cs="Arial"/>
          <w:b/>
          <w:bCs/>
          <w:sz w:val="20"/>
          <w:szCs w:val="20"/>
        </w:rPr>
        <w:t>v</w:t>
      </w:r>
      <w:r w:rsidR="006B08B4">
        <w:rPr>
          <w:rFonts w:ascii="Arial" w:hAnsi="Arial" w:cs="Arial"/>
          <w:b/>
          <w:bCs/>
          <w:sz w:val="20"/>
          <w:szCs w:val="20"/>
        </w:rPr>
        <w:t xml:space="preserve">rtletí </w:t>
      </w:r>
      <w:r w:rsidR="00A83633">
        <w:rPr>
          <w:rFonts w:ascii="Arial" w:hAnsi="Arial" w:cs="Arial"/>
          <w:b/>
          <w:bCs/>
          <w:sz w:val="20"/>
          <w:szCs w:val="20"/>
        </w:rPr>
        <w:t xml:space="preserve">letošního roku </w:t>
      </w:r>
      <w:r w:rsidR="006B08B4">
        <w:rPr>
          <w:rFonts w:ascii="Arial" w:hAnsi="Arial" w:cs="Arial"/>
          <w:b/>
          <w:bCs/>
          <w:sz w:val="20"/>
          <w:szCs w:val="20"/>
        </w:rPr>
        <w:t xml:space="preserve">v </w:t>
      </w:r>
      <w:r w:rsidR="006B08B4" w:rsidRPr="001B5AC0">
        <w:rPr>
          <w:rFonts w:ascii="Arial" w:hAnsi="Arial" w:cs="Arial"/>
          <w:b/>
          <w:bCs/>
          <w:sz w:val="20"/>
          <w:szCs w:val="20"/>
        </w:rPr>
        <w:t>kontrolní</w:t>
      </w:r>
      <w:r w:rsidRPr="001B5AC0">
        <w:rPr>
          <w:rFonts w:ascii="Arial" w:hAnsi="Arial" w:cs="Arial"/>
          <w:b/>
          <w:bCs/>
          <w:sz w:val="20"/>
          <w:szCs w:val="20"/>
        </w:rPr>
        <w:t xml:space="preserve"> akc</w:t>
      </w:r>
      <w:r w:rsidR="004A0FA9">
        <w:rPr>
          <w:rFonts w:ascii="Arial" w:hAnsi="Arial" w:cs="Arial"/>
          <w:b/>
          <w:bCs/>
          <w:sz w:val="20"/>
          <w:szCs w:val="20"/>
        </w:rPr>
        <w:t>i</w:t>
      </w:r>
      <w:r w:rsidR="006B08B4">
        <w:rPr>
          <w:rFonts w:ascii="Arial" w:hAnsi="Arial" w:cs="Arial"/>
          <w:b/>
          <w:bCs/>
          <w:sz w:val="20"/>
          <w:szCs w:val="20"/>
        </w:rPr>
        <w:t>,</w:t>
      </w:r>
      <w:r w:rsidRPr="001B5AC0">
        <w:rPr>
          <w:rFonts w:ascii="Arial" w:hAnsi="Arial" w:cs="Arial"/>
          <w:b/>
          <w:bCs/>
          <w:sz w:val="20"/>
          <w:szCs w:val="20"/>
        </w:rPr>
        <w:t xml:space="preserve"> zaměřené na internetový prodej</w:t>
      </w:r>
      <w:r w:rsidR="004A0FA9">
        <w:rPr>
          <w:rFonts w:ascii="Arial" w:hAnsi="Arial" w:cs="Arial"/>
          <w:b/>
          <w:bCs/>
          <w:sz w:val="20"/>
          <w:szCs w:val="20"/>
        </w:rPr>
        <w:t xml:space="preserve">. </w:t>
      </w:r>
      <w:r w:rsidRPr="001B5AC0">
        <w:rPr>
          <w:rFonts w:ascii="Arial" w:hAnsi="Arial" w:cs="Arial"/>
          <w:b/>
          <w:bCs/>
          <w:sz w:val="20"/>
          <w:szCs w:val="20"/>
        </w:rPr>
        <w:t>Kontroly</w:t>
      </w:r>
      <w:r w:rsidR="003550DC">
        <w:rPr>
          <w:rFonts w:ascii="Arial" w:hAnsi="Arial" w:cs="Arial"/>
          <w:b/>
          <w:bCs/>
          <w:sz w:val="20"/>
          <w:szCs w:val="20"/>
        </w:rPr>
        <w:t>,</w:t>
      </w:r>
      <w:r w:rsidR="004A0FA9">
        <w:rPr>
          <w:rFonts w:ascii="Arial" w:hAnsi="Arial" w:cs="Arial"/>
          <w:b/>
          <w:bCs/>
          <w:sz w:val="20"/>
          <w:szCs w:val="20"/>
        </w:rPr>
        <w:t xml:space="preserve"> prováděné všemi regionálními inspektoráty</w:t>
      </w:r>
      <w:r w:rsidRPr="001B5AC0">
        <w:rPr>
          <w:rFonts w:ascii="Arial" w:hAnsi="Arial" w:cs="Arial"/>
          <w:b/>
          <w:bCs/>
          <w:sz w:val="20"/>
          <w:szCs w:val="20"/>
        </w:rPr>
        <w:t xml:space="preserve"> </w:t>
      </w:r>
      <w:r w:rsidR="00886D5C">
        <w:rPr>
          <w:rFonts w:ascii="Arial" w:hAnsi="Arial" w:cs="Arial"/>
          <w:b/>
          <w:bCs/>
          <w:sz w:val="20"/>
          <w:szCs w:val="20"/>
        </w:rPr>
        <w:t>ČOI</w:t>
      </w:r>
      <w:r w:rsidR="003550DC">
        <w:rPr>
          <w:rFonts w:ascii="Arial" w:hAnsi="Arial" w:cs="Arial"/>
          <w:b/>
          <w:bCs/>
          <w:sz w:val="20"/>
          <w:szCs w:val="20"/>
        </w:rPr>
        <w:t>,</w:t>
      </w:r>
      <w:r w:rsidR="00886D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1B5AC0">
        <w:rPr>
          <w:rFonts w:ascii="Arial" w:hAnsi="Arial" w:cs="Arial"/>
          <w:b/>
          <w:bCs/>
          <w:sz w:val="20"/>
          <w:szCs w:val="20"/>
        </w:rPr>
        <w:t>se soustředily na dodržování povinností</w:t>
      </w:r>
      <w:r w:rsidR="00272392">
        <w:rPr>
          <w:rFonts w:ascii="Arial" w:hAnsi="Arial" w:cs="Arial"/>
          <w:b/>
          <w:bCs/>
          <w:sz w:val="20"/>
          <w:szCs w:val="20"/>
        </w:rPr>
        <w:t xml:space="preserve">, </w:t>
      </w:r>
      <w:r w:rsidR="004A0FA9">
        <w:rPr>
          <w:rFonts w:ascii="Arial" w:hAnsi="Arial" w:cs="Arial"/>
          <w:b/>
          <w:bCs/>
          <w:sz w:val="20"/>
          <w:szCs w:val="20"/>
        </w:rPr>
        <w:t xml:space="preserve">vyplývajících </w:t>
      </w:r>
      <w:r w:rsidRPr="004A0FA9">
        <w:rPr>
          <w:rFonts w:ascii="Arial" w:hAnsi="Arial" w:cs="Arial"/>
          <w:b/>
          <w:bCs/>
          <w:sz w:val="20"/>
          <w:szCs w:val="20"/>
        </w:rPr>
        <w:t>prodávající</w:t>
      </w:r>
      <w:r w:rsidR="004A0FA9" w:rsidRPr="004A0FA9">
        <w:rPr>
          <w:rFonts w:ascii="Arial" w:hAnsi="Arial" w:cs="Arial"/>
          <w:b/>
          <w:bCs/>
          <w:sz w:val="20"/>
          <w:szCs w:val="20"/>
        </w:rPr>
        <w:t>m</w:t>
      </w:r>
      <w:r w:rsidRPr="004A0FA9">
        <w:rPr>
          <w:rFonts w:ascii="Arial" w:hAnsi="Arial" w:cs="Arial"/>
          <w:b/>
          <w:bCs/>
          <w:sz w:val="20"/>
          <w:szCs w:val="20"/>
        </w:rPr>
        <w:t xml:space="preserve"> </w:t>
      </w:r>
      <w:r w:rsidR="004A0FA9" w:rsidRPr="00854B6A">
        <w:rPr>
          <w:rFonts w:ascii="Arial" w:hAnsi="Arial" w:cs="Arial"/>
          <w:b/>
          <w:bCs/>
          <w:sz w:val="20"/>
          <w:szCs w:val="20"/>
        </w:rPr>
        <w:t xml:space="preserve">ze zákona o ochraně spotřebitele, občanského zákoníku a dalších právních předpisů </w:t>
      </w:r>
      <w:r w:rsidRPr="004A0FA9">
        <w:rPr>
          <w:rFonts w:ascii="Arial" w:hAnsi="Arial" w:cs="Arial"/>
          <w:b/>
          <w:bCs/>
          <w:sz w:val="20"/>
          <w:szCs w:val="20"/>
        </w:rPr>
        <w:t>při prodeji zboží p</w:t>
      </w:r>
      <w:r w:rsidRPr="001B5AC0">
        <w:rPr>
          <w:rFonts w:ascii="Arial" w:hAnsi="Arial" w:cs="Arial"/>
          <w:b/>
          <w:bCs/>
          <w:sz w:val="20"/>
          <w:szCs w:val="20"/>
        </w:rPr>
        <w:t>rostřednictvím internetu</w:t>
      </w:r>
      <w:r w:rsidR="004A0FA9">
        <w:rPr>
          <w:rFonts w:ascii="Arial" w:hAnsi="Arial" w:cs="Arial"/>
          <w:b/>
          <w:bCs/>
          <w:sz w:val="20"/>
          <w:szCs w:val="20"/>
        </w:rPr>
        <w:t>.</w:t>
      </w:r>
      <w:r w:rsidR="000A1B7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75238C" w14:textId="20DCF3A9" w:rsidR="000E777C" w:rsidRDefault="001B5AC0" w:rsidP="000E777C">
      <w:pPr>
        <w:jc w:val="both"/>
        <w:rPr>
          <w:rFonts w:ascii="Arial" w:hAnsi="Arial" w:cs="Arial"/>
          <w:sz w:val="20"/>
          <w:szCs w:val="20"/>
        </w:rPr>
      </w:pPr>
      <w:r w:rsidRPr="001B5AC0">
        <w:rPr>
          <w:rFonts w:ascii="Arial" w:hAnsi="Arial" w:cs="Arial"/>
          <w:sz w:val="20"/>
          <w:szCs w:val="20"/>
        </w:rPr>
        <w:t xml:space="preserve">V rámci kontrolní </w:t>
      </w:r>
      <w:r w:rsidR="002C6F0D" w:rsidRPr="001B5AC0">
        <w:rPr>
          <w:rFonts w:ascii="Arial" w:hAnsi="Arial" w:cs="Arial"/>
          <w:sz w:val="20"/>
          <w:szCs w:val="20"/>
        </w:rPr>
        <w:t>akce</w:t>
      </w:r>
      <w:r w:rsidR="000A5922">
        <w:rPr>
          <w:rFonts w:ascii="Arial" w:hAnsi="Arial" w:cs="Arial"/>
          <w:sz w:val="20"/>
          <w:szCs w:val="20"/>
        </w:rPr>
        <w:t xml:space="preserve"> bylo v období </w:t>
      </w:r>
      <w:r>
        <w:rPr>
          <w:rFonts w:ascii="Arial" w:hAnsi="Arial" w:cs="Arial"/>
          <w:sz w:val="20"/>
          <w:szCs w:val="20"/>
        </w:rPr>
        <w:t>od 1.</w:t>
      </w:r>
      <w:r w:rsidR="00D017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</w:t>
      </w:r>
      <w:r w:rsidR="00D017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31.</w:t>
      </w:r>
      <w:r w:rsidR="00D017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3.</w:t>
      </w:r>
      <w:r w:rsidR="00D017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2026 </w:t>
      </w:r>
      <w:r w:rsidR="00F12962">
        <w:rPr>
          <w:rFonts w:ascii="Arial" w:hAnsi="Arial" w:cs="Arial"/>
          <w:sz w:val="20"/>
          <w:szCs w:val="20"/>
        </w:rPr>
        <w:t>realizováno</w:t>
      </w:r>
      <w:r w:rsidRPr="001B5AC0">
        <w:rPr>
          <w:rFonts w:ascii="Arial" w:hAnsi="Arial" w:cs="Arial"/>
          <w:sz w:val="20"/>
          <w:szCs w:val="20"/>
        </w:rPr>
        <w:t xml:space="preserve"> celkem 123 </w:t>
      </w:r>
      <w:r w:rsidR="004E1767">
        <w:rPr>
          <w:rFonts w:ascii="Arial" w:hAnsi="Arial" w:cs="Arial"/>
          <w:sz w:val="20"/>
          <w:szCs w:val="20"/>
        </w:rPr>
        <w:t xml:space="preserve">převážně cílených </w:t>
      </w:r>
      <w:r w:rsidRPr="001B5AC0">
        <w:rPr>
          <w:rFonts w:ascii="Arial" w:hAnsi="Arial" w:cs="Arial"/>
          <w:sz w:val="20"/>
          <w:szCs w:val="20"/>
        </w:rPr>
        <w:t xml:space="preserve">kontrol, porušení právních předpisů bylo zjištěno v 97 </w:t>
      </w:r>
      <w:r w:rsidR="0001227F">
        <w:rPr>
          <w:rFonts w:ascii="Arial" w:hAnsi="Arial" w:cs="Arial"/>
          <w:sz w:val="20"/>
          <w:szCs w:val="20"/>
        </w:rPr>
        <w:t>kontrolách</w:t>
      </w:r>
      <w:r w:rsidRPr="001B5AC0">
        <w:rPr>
          <w:rFonts w:ascii="Arial" w:hAnsi="Arial" w:cs="Arial"/>
          <w:sz w:val="20"/>
          <w:szCs w:val="20"/>
        </w:rPr>
        <w:t xml:space="preserve">, což představuje 78,86 % z celkového počtu kontrol. </w:t>
      </w:r>
      <w:r w:rsidR="000E777C" w:rsidRPr="000E777C">
        <w:rPr>
          <w:rFonts w:ascii="Arial" w:hAnsi="Arial" w:cs="Arial"/>
          <w:sz w:val="20"/>
          <w:szCs w:val="20"/>
        </w:rPr>
        <w:t>Internetový prodej patří dlouhodobě mezi odborně i časově nejnáročnější oblasti kontrolní činnosti ČOI, a to především s ohledem na rozsah kontrolovaných informací. Cílem kontrol bylo zachytit kompletní obsah internetových stránek a posoudit veškeré informace předkládané spotřebitelům v souvislosti s nabídkou a prodejem výrobků a služeb.</w:t>
      </w:r>
    </w:p>
    <w:p w14:paraId="1A564EB2" w14:textId="03318FC5" w:rsidR="002C6F0D" w:rsidRPr="002C6F0D" w:rsidRDefault="002C6F0D" w:rsidP="00716C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Celkově bylo</w:t>
      </w:r>
      <w:r w:rsidRPr="002C6F0D">
        <w:rPr>
          <w:rFonts w:ascii="Arial" w:hAnsi="Arial" w:cs="Arial"/>
          <w:sz w:val="20"/>
          <w:szCs w:val="20"/>
        </w:rPr>
        <w:t xml:space="preserve"> zjištěno </w:t>
      </w:r>
      <w:r w:rsidRPr="002C6F0D">
        <w:rPr>
          <w:rFonts w:ascii="Arial" w:hAnsi="Arial" w:cs="Arial"/>
          <w:b/>
          <w:bCs/>
          <w:sz w:val="20"/>
          <w:szCs w:val="20"/>
        </w:rPr>
        <w:t>396 případů porušení právních předpisů</w:t>
      </w:r>
      <w:r w:rsidRPr="002C6F0D">
        <w:rPr>
          <w:rFonts w:ascii="Arial" w:hAnsi="Arial" w:cs="Arial"/>
          <w:sz w:val="20"/>
          <w:szCs w:val="20"/>
        </w:rPr>
        <w:t xml:space="preserve"> </w:t>
      </w:r>
      <w:r w:rsidRPr="002C6F0D">
        <w:rPr>
          <w:rFonts w:ascii="Arial" w:hAnsi="Arial" w:cs="Arial"/>
          <w:b/>
          <w:bCs/>
          <w:sz w:val="20"/>
          <w:szCs w:val="20"/>
        </w:rPr>
        <w:t>souvisejících s nabídkou a prodejem výrobků a služeb prostřednictvím prostředků komunikace na dálku.</w:t>
      </w:r>
      <w:r w:rsidRPr="002C6F0D">
        <w:rPr>
          <w:rFonts w:ascii="Arial" w:hAnsi="Arial" w:cs="Arial"/>
          <w:sz w:val="20"/>
          <w:szCs w:val="20"/>
        </w:rPr>
        <w:t xml:space="preserve"> </w:t>
      </w:r>
      <w:r w:rsidR="00204B4E">
        <w:rPr>
          <w:rFonts w:ascii="Arial" w:hAnsi="Arial" w:cs="Arial"/>
          <w:b/>
          <w:bCs/>
          <w:sz w:val="20"/>
          <w:szCs w:val="20"/>
        </w:rPr>
        <w:t>Porušení</w:t>
      </w:r>
      <w:r w:rsidRPr="002C6F0D">
        <w:rPr>
          <w:rFonts w:ascii="Arial" w:hAnsi="Arial" w:cs="Arial"/>
          <w:b/>
          <w:bCs/>
          <w:sz w:val="20"/>
          <w:szCs w:val="20"/>
        </w:rPr>
        <w:t xml:space="preserve"> zákon</w:t>
      </w:r>
      <w:r w:rsidR="00204B4E">
        <w:rPr>
          <w:rFonts w:ascii="Arial" w:hAnsi="Arial" w:cs="Arial"/>
          <w:b/>
          <w:bCs/>
          <w:sz w:val="20"/>
          <w:szCs w:val="20"/>
        </w:rPr>
        <w:t>a</w:t>
      </w:r>
      <w:r w:rsidRPr="002C6F0D">
        <w:rPr>
          <w:rFonts w:ascii="Arial" w:hAnsi="Arial" w:cs="Arial"/>
          <w:b/>
          <w:bCs/>
          <w:sz w:val="20"/>
          <w:szCs w:val="20"/>
        </w:rPr>
        <w:t xml:space="preserve"> č. 634/1992 Sb., o ochraně </w:t>
      </w:r>
      <w:r w:rsidR="004734BA" w:rsidRPr="002C6F0D">
        <w:rPr>
          <w:rFonts w:ascii="Arial" w:hAnsi="Arial" w:cs="Arial"/>
          <w:b/>
          <w:bCs/>
          <w:sz w:val="20"/>
          <w:szCs w:val="20"/>
        </w:rPr>
        <w:t xml:space="preserve">spotřebitele, </w:t>
      </w:r>
      <w:r w:rsidR="004734BA">
        <w:rPr>
          <w:rFonts w:ascii="Arial" w:hAnsi="Arial" w:cs="Arial"/>
          <w:b/>
          <w:bCs/>
          <w:sz w:val="20"/>
          <w:szCs w:val="20"/>
        </w:rPr>
        <w:t>bylo</w:t>
      </w:r>
      <w:r w:rsidR="00204B4E">
        <w:rPr>
          <w:rFonts w:ascii="Arial" w:hAnsi="Arial" w:cs="Arial"/>
          <w:b/>
          <w:bCs/>
          <w:sz w:val="20"/>
          <w:szCs w:val="20"/>
        </w:rPr>
        <w:t xml:space="preserve"> zjištěno </w:t>
      </w:r>
      <w:r w:rsidRPr="002C6F0D">
        <w:rPr>
          <w:rFonts w:ascii="Arial" w:hAnsi="Arial" w:cs="Arial"/>
          <w:b/>
          <w:bCs/>
          <w:sz w:val="20"/>
          <w:szCs w:val="20"/>
        </w:rPr>
        <w:t>celkem ve 158 případech.</w:t>
      </w:r>
      <w:r w:rsidRPr="002C6F0D">
        <w:rPr>
          <w:rFonts w:ascii="Arial" w:hAnsi="Arial" w:cs="Arial"/>
          <w:sz w:val="20"/>
          <w:szCs w:val="20"/>
        </w:rPr>
        <w:t xml:space="preserve"> Nejvýraznější podíl představovalo porušení ustanovení § 13, které ukládá prodávajícím povinnost řádně informovat spotřebitele o podmínkách a způsobu </w:t>
      </w:r>
      <w:r w:rsidRPr="002C6F0D">
        <w:rPr>
          <w:rFonts w:ascii="Arial" w:hAnsi="Arial" w:cs="Arial"/>
          <w:b/>
          <w:bCs/>
          <w:sz w:val="20"/>
          <w:szCs w:val="20"/>
        </w:rPr>
        <w:t xml:space="preserve">uplatnění </w:t>
      </w:r>
      <w:r w:rsidR="000277BA">
        <w:rPr>
          <w:rFonts w:ascii="Arial" w:hAnsi="Arial" w:cs="Arial"/>
          <w:b/>
          <w:bCs/>
          <w:sz w:val="20"/>
          <w:szCs w:val="20"/>
        </w:rPr>
        <w:t>práva z vadného plnění (</w:t>
      </w:r>
      <w:r w:rsidRPr="000277BA">
        <w:rPr>
          <w:rFonts w:ascii="Arial" w:hAnsi="Arial" w:cs="Arial"/>
          <w:sz w:val="20"/>
          <w:szCs w:val="20"/>
        </w:rPr>
        <w:t>reklamace</w:t>
      </w:r>
      <w:r w:rsidR="000277BA">
        <w:rPr>
          <w:rFonts w:ascii="Arial" w:hAnsi="Arial" w:cs="Arial"/>
          <w:b/>
          <w:bCs/>
          <w:sz w:val="20"/>
          <w:szCs w:val="20"/>
        </w:rPr>
        <w:t>)</w:t>
      </w:r>
      <w:r w:rsidRPr="002C6F0D">
        <w:rPr>
          <w:rFonts w:ascii="Arial" w:hAnsi="Arial" w:cs="Arial"/>
          <w:b/>
          <w:bCs/>
          <w:sz w:val="20"/>
          <w:szCs w:val="20"/>
        </w:rPr>
        <w:t>. Toto porušení bylo zjištěno v 67 případech</w:t>
      </w:r>
      <w:r w:rsidRPr="002C6F0D">
        <w:rPr>
          <w:rFonts w:ascii="Arial" w:hAnsi="Arial" w:cs="Arial"/>
          <w:sz w:val="20"/>
          <w:szCs w:val="20"/>
        </w:rPr>
        <w:t xml:space="preserve">. Významnou oblast zjištění </w:t>
      </w:r>
      <w:r w:rsidR="00C77654">
        <w:rPr>
          <w:rFonts w:ascii="Arial" w:hAnsi="Arial" w:cs="Arial"/>
          <w:sz w:val="20"/>
          <w:szCs w:val="20"/>
        </w:rPr>
        <w:t>představovaly</w:t>
      </w:r>
      <w:r w:rsidRPr="002C6F0D">
        <w:rPr>
          <w:rFonts w:ascii="Arial" w:hAnsi="Arial" w:cs="Arial"/>
          <w:sz w:val="20"/>
          <w:szCs w:val="20"/>
        </w:rPr>
        <w:t xml:space="preserve"> </w:t>
      </w:r>
      <w:r w:rsidRPr="002C6F0D">
        <w:rPr>
          <w:rFonts w:ascii="Arial" w:hAnsi="Arial" w:cs="Arial"/>
          <w:b/>
          <w:bCs/>
          <w:sz w:val="20"/>
          <w:szCs w:val="20"/>
        </w:rPr>
        <w:t xml:space="preserve">nekalé obchodní praktiky, </w:t>
      </w:r>
      <w:r w:rsidR="004A0FA9">
        <w:rPr>
          <w:rFonts w:ascii="Arial" w:hAnsi="Arial" w:cs="Arial"/>
          <w:b/>
          <w:bCs/>
          <w:sz w:val="20"/>
          <w:szCs w:val="20"/>
        </w:rPr>
        <w:t>jejichž užití bylo</w:t>
      </w:r>
      <w:r w:rsidR="00854B6A">
        <w:rPr>
          <w:rFonts w:ascii="Arial" w:hAnsi="Arial" w:cs="Arial"/>
          <w:b/>
          <w:bCs/>
          <w:sz w:val="20"/>
          <w:szCs w:val="20"/>
        </w:rPr>
        <w:t xml:space="preserve"> ce</w:t>
      </w:r>
      <w:r w:rsidRPr="002C6F0D">
        <w:rPr>
          <w:rFonts w:ascii="Arial" w:hAnsi="Arial" w:cs="Arial"/>
          <w:b/>
          <w:bCs/>
          <w:sz w:val="20"/>
          <w:szCs w:val="20"/>
        </w:rPr>
        <w:t>lkem ve 43 případech</w:t>
      </w:r>
      <w:r w:rsidRPr="002C6F0D">
        <w:rPr>
          <w:rFonts w:ascii="Arial" w:hAnsi="Arial" w:cs="Arial"/>
          <w:sz w:val="20"/>
          <w:szCs w:val="20"/>
        </w:rPr>
        <w:t xml:space="preserve">. V </w:t>
      </w:r>
      <w:r w:rsidRPr="002C6F0D">
        <w:rPr>
          <w:rFonts w:ascii="Arial" w:hAnsi="Arial" w:cs="Arial"/>
          <w:b/>
          <w:bCs/>
          <w:sz w:val="20"/>
          <w:szCs w:val="20"/>
        </w:rPr>
        <w:t>19 případech šlo o klamavé konání</w:t>
      </w:r>
      <w:r w:rsidRPr="002C6F0D">
        <w:rPr>
          <w:rFonts w:ascii="Arial" w:hAnsi="Arial" w:cs="Arial"/>
          <w:sz w:val="20"/>
          <w:szCs w:val="20"/>
        </w:rPr>
        <w:t xml:space="preserve"> podle § 4 odst. 4 ve spojení s § 5 odst. 1 a 2 zákona o ochraně spotřebitele, kdy </w:t>
      </w:r>
      <w:r w:rsidRPr="006D74C9">
        <w:rPr>
          <w:rFonts w:ascii="Arial" w:hAnsi="Arial" w:cs="Arial"/>
          <w:b/>
          <w:bCs/>
          <w:sz w:val="20"/>
          <w:szCs w:val="20"/>
        </w:rPr>
        <w:t xml:space="preserve">prodávající poskytovali nepravdivé nebo zavádějící informace o výrobcích, službách, cenách či právech spotřebitele. </w:t>
      </w:r>
      <w:r w:rsidRPr="002C6F0D">
        <w:rPr>
          <w:rFonts w:ascii="Arial" w:hAnsi="Arial" w:cs="Arial"/>
          <w:sz w:val="20"/>
          <w:szCs w:val="20"/>
        </w:rPr>
        <w:t xml:space="preserve">Dalších </w:t>
      </w:r>
      <w:r w:rsidRPr="002C6F0D">
        <w:rPr>
          <w:rFonts w:ascii="Arial" w:hAnsi="Arial" w:cs="Arial"/>
          <w:b/>
          <w:bCs/>
          <w:sz w:val="20"/>
          <w:szCs w:val="20"/>
        </w:rPr>
        <w:t>24 případů se týkalo klamavého opomenutí</w:t>
      </w:r>
      <w:r w:rsidRPr="002C6F0D">
        <w:rPr>
          <w:rFonts w:ascii="Arial" w:hAnsi="Arial" w:cs="Arial"/>
          <w:sz w:val="20"/>
          <w:szCs w:val="20"/>
        </w:rPr>
        <w:t xml:space="preserve"> podle § 4 odst. 4 ve spojení s § 5a odst. 1, 2 nebo 5, kdy podnikatelé spotřebitelům </w:t>
      </w:r>
      <w:r w:rsidRPr="006D74C9">
        <w:rPr>
          <w:rFonts w:ascii="Arial" w:hAnsi="Arial" w:cs="Arial"/>
          <w:b/>
          <w:bCs/>
          <w:sz w:val="20"/>
          <w:szCs w:val="20"/>
        </w:rPr>
        <w:t>neposkytli podstatné informace nebo je uváděli nejasně či nesrozumitelně.</w:t>
      </w:r>
      <w:r w:rsidRPr="002C6F0D">
        <w:rPr>
          <w:rFonts w:ascii="Arial" w:hAnsi="Arial" w:cs="Arial"/>
          <w:sz w:val="20"/>
          <w:szCs w:val="20"/>
        </w:rPr>
        <w:t xml:space="preserve"> V </w:t>
      </w:r>
      <w:r w:rsidRPr="002C6F0D">
        <w:rPr>
          <w:rFonts w:ascii="Arial" w:hAnsi="Arial" w:cs="Arial"/>
          <w:b/>
          <w:bCs/>
          <w:sz w:val="20"/>
          <w:szCs w:val="20"/>
        </w:rPr>
        <w:t xml:space="preserve">16 případech </w:t>
      </w:r>
      <w:r w:rsidRPr="003B46D7">
        <w:rPr>
          <w:rFonts w:ascii="Arial" w:hAnsi="Arial" w:cs="Arial"/>
          <w:sz w:val="20"/>
          <w:szCs w:val="20"/>
        </w:rPr>
        <w:t>šlo konkrétně</w:t>
      </w:r>
      <w:r w:rsidRPr="002C6F0D">
        <w:rPr>
          <w:rFonts w:ascii="Arial" w:hAnsi="Arial" w:cs="Arial"/>
          <w:b/>
          <w:bCs/>
          <w:sz w:val="20"/>
          <w:szCs w:val="20"/>
        </w:rPr>
        <w:t xml:space="preserve"> o nedostatečné informování o pravosti spotřebitelských recenzí</w:t>
      </w:r>
      <w:r w:rsidRPr="002C6F0D">
        <w:rPr>
          <w:rFonts w:ascii="Arial" w:hAnsi="Arial" w:cs="Arial"/>
          <w:sz w:val="20"/>
          <w:szCs w:val="20"/>
        </w:rPr>
        <w:t xml:space="preserve">. Ve </w:t>
      </w:r>
      <w:r w:rsidRPr="002C6F0D">
        <w:rPr>
          <w:rFonts w:ascii="Arial" w:hAnsi="Arial" w:cs="Arial"/>
          <w:b/>
          <w:bCs/>
          <w:sz w:val="20"/>
          <w:szCs w:val="20"/>
        </w:rPr>
        <w:t xml:space="preserve">20 případech bylo </w:t>
      </w:r>
      <w:r w:rsidRPr="003B46D7">
        <w:rPr>
          <w:rFonts w:ascii="Arial" w:hAnsi="Arial" w:cs="Arial"/>
          <w:sz w:val="20"/>
          <w:szCs w:val="20"/>
        </w:rPr>
        <w:t>rovněž</w:t>
      </w:r>
      <w:r w:rsidRPr="002C6F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3B46D7">
        <w:rPr>
          <w:rFonts w:ascii="Arial" w:hAnsi="Arial" w:cs="Arial"/>
          <w:sz w:val="20"/>
          <w:szCs w:val="20"/>
        </w:rPr>
        <w:t>zjištěno porušení § 14 odst. 1 zákona o ochraně spotřebitele,</w:t>
      </w:r>
      <w:r w:rsidRPr="002C6F0D">
        <w:rPr>
          <w:rFonts w:ascii="Arial" w:hAnsi="Arial" w:cs="Arial"/>
          <w:sz w:val="20"/>
          <w:szCs w:val="20"/>
        </w:rPr>
        <w:t xml:space="preserve"> kdy </w:t>
      </w:r>
      <w:r w:rsidRPr="003B46D7">
        <w:rPr>
          <w:rFonts w:ascii="Arial" w:hAnsi="Arial" w:cs="Arial"/>
          <w:b/>
          <w:bCs/>
          <w:sz w:val="20"/>
          <w:szCs w:val="20"/>
        </w:rPr>
        <w:t>prodávající neinformovali spotřebitele o možnosti mimosoudního řešení spotřebitelských sporů</w:t>
      </w:r>
      <w:r w:rsidRPr="002C6F0D">
        <w:rPr>
          <w:rFonts w:ascii="Arial" w:hAnsi="Arial" w:cs="Arial"/>
          <w:sz w:val="20"/>
          <w:szCs w:val="20"/>
        </w:rPr>
        <w:t xml:space="preserve"> (ADR).</w:t>
      </w:r>
    </w:p>
    <w:p w14:paraId="7C15C473" w14:textId="77777777" w:rsidR="002C6F0D" w:rsidRPr="002C6F0D" w:rsidRDefault="002C6F0D" w:rsidP="002C6F0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6F0D">
        <w:rPr>
          <w:rFonts w:ascii="Arial" w:hAnsi="Arial" w:cs="Arial"/>
          <w:b/>
          <w:bCs/>
          <w:sz w:val="20"/>
          <w:szCs w:val="20"/>
        </w:rPr>
        <w:t>Porušení zákona č. 89/2012 Sb., občanského zákoníku, bylo zjištěno celkem ve 176 případech.</w:t>
      </w:r>
      <w:r w:rsidRPr="002C6F0D">
        <w:rPr>
          <w:rFonts w:ascii="Arial" w:hAnsi="Arial" w:cs="Arial"/>
          <w:sz w:val="20"/>
          <w:szCs w:val="20"/>
        </w:rPr>
        <w:t xml:space="preserve"> Nejčastěji se jednalo o porušení ustanovení § 1820, které </w:t>
      </w:r>
      <w:r w:rsidRPr="002C6F0D">
        <w:rPr>
          <w:rFonts w:ascii="Arial" w:hAnsi="Arial" w:cs="Arial"/>
          <w:b/>
          <w:bCs/>
          <w:sz w:val="20"/>
          <w:szCs w:val="20"/>
        </w:rPr>
        <w:t>upravuje informační povinnosti podnikatele před uzavřením smlouvy uzavírané na dálku. Toto porušení bylo zaznamenáno v 87 případech</w:t>
      </w:r>
      <w:r w:rsidRPr="002C6F0D">
        <w:rPr>
          <w:rFonts w:ascii="Arial" w:hAnsi="Arial" w:cs="Arial"/>
          <w:sz w:val="20"/>
          <w:szCs w:val="20"/>
        </w:rPr>
        <w:t xml:space="preserve">, přičemž ve </w:t>
      </w:r>
      <w:r w:rsidRPr="002C6F0D">
        <w:rPr>
          <w:rFonts w:ascii="Arial" w:hAnsi="Arial" w:cs="Arial"/>
          <w:b/>
          <w:bCs/>
          <w:sz w:val="20"/>
          <w:szCs w:val="20"/>
        </w:rPr>
        <w:t>49 případech prodávající neposkytli spotřebitelům informace o možnosti odstoupení od smlouvy ani vzorový formulář</w:t>
      </w:r>
      <w:r w:rsidRPr="002C6F0D">
        <w:rPr>
          <w:rFonts w:ascii="Arial" w:hAnsi="Arial" w:cs="Arial"/>
          <w:sz w:val="20"/>
          <w:szCs w:val="20"/>
        </w:rPr>
        <w:t xml:space="preserve"> pro odstoupení. Ve </w:t>
      </w:r>
      <w:r w:rsidRPr="002C6F0D">
        <w:rPr>
          <w:rFonts w:ascii="Arial" w:hAnsi="Arial" w:cs="Arial"/>
          <w:b/>
          <w:bCs/>
          <w:sz w:val="20"/>
          <w:szCs w:val="20"/>
        </w:rPr>
        <w:t xml:space="preserve">33 případech </w:t>
      </w:r>
      <w:r w:rsidRPr="00BB03AA">
        <w:rPr>
          <w:rFonts w:ascii="Arial" w:hAnsi="Arial" w:cs="Arial"/>
          <w:sz w:val="20"/>
          <w:szCs w:val="20"/>
        </w:rPr>
        <w:t>bylo porušeno ustanovení § 1827 odst. 2 občanského zákoníku,</w:t>
      </w:r>
      <w:r w:rsidRPr="002C6F0D">
        <w:rPr>
          <w:rFonts w:ascii="Arial" w:hAnsi="Arial" w:cs="Arial"/>
          <w:sz w:val="20"/>
          <w:szCs w:val="20"/>
        </w:rPr>
        <w:t xml:space="preserve"> protože spotřebitelům </w:t>
      </w:r>
      <w:r w:rsidRPr="00BB03AA">
        <w:rPr>
          <w:rFonts w:ascii="Arial" w:hAnsi="Arial" w:cs="Arial"/>
          <w:b/>
          <w:bCs/>
          <w:sz w:val="20"/>
          <w:szCs w:val="20"/>
        </w:rPr>
        <w:t>nebylo poskytnuto znění smlouvy a obchodních podmínek v textové podobě</w:t>
      </w:r>
      <w:r w:rsidRPr="002C6F0D">
        <w:rPr>
          <w:rFonts w:ascii="Arial" w:hAnsi="Arial" w:cs="Arial"/>
          <w:sz w:val="20"/>
          <w:szCs w:val="20"/>
        </w:rPr>
        <w:t xml:space="preserve">. Ve </w:t>
      </w:r>
      <w:r w:rsidRPr="002C6F0D">
        <w:rPr>
          <w:rFonts w:ascii="Arial" w:hAnsi="Arial" w:cs="Arial"/>
          <w:b/>
          <w:bCs/>
          <w:sz w:val="20"/>
          <w:szCs w:val="20"/>
        </w:rPr>
        <w:t xml:space="preserve">21 případech </w:t>
      </w:r>
      <w:r w:rsidRPr="00BB03AA">
        <w:rPr>
          <w:rFonts w:ascii="Arial" w:hAnsi="Arial" w:cs="Arial"/>
          <w:sz w:val="20"/>
          <w:szCs w:val="20"/>
        </w:rPr>
        <w:t>bylo zjištěno porušení § 1826a odst. 2,</w:t>
      </w:r>
      <w:r w:rsidRPr="002C6F0D">
        <w:rPr>
          <w:rFonts w:ascii="Arial" w:hAnsi="Arial" w:cs="Arial"/>
          <w:sz w:val="20"/>
          <w:szCs w:val="20"/>
        </w:rPr>
        <w:t xml:space="preserve"> které podnikatelům </w:t>
      </w:r>
      <w:r w:rsidRPr="00BB03AA">
        <w:rPr>
          <w:rFonts w:ascii="Arial" w:hAnsi="Arial" w:cs="Arial"/>
          <w:b/>
          <w:bCs/>
          <w:sz w:val="20"/>
          <w:szCs w:val="20"/>
        </w:rPr>
        <w:t>ukládá povinnost jasně informovat spotřebitele o tom, že</w:t>
      </w:r>
      <w:r w:rsidRPr="002C6F0D">
        <w:rPr>
          <w:rFonts w:ascii="Arial" w:hAnsi="Arial" w:cs="Arial"/>
          <w:sz w:val="20"/>
          <w:szCs w:val="20"/>
        </w:rPr>
        <w:t xml:space="preserve"> </w:t>
      </w:r>
      <w:r w:rsidRPr="002C6F0D">
        <w:rPr>
          <w:rFonts w:ascii="Arial" w:hAnsi="Arial" w:cs="Arial"/>
          <w:b/>
          <w:bCs/>
          <w:sz w:val="20"/>
          <w:szCs w:val="20"/>
        </w:rPr>
        <w:t>odesláním objednávky vzniká povinnost platby.</w:t>
      </w:r>
    </w:p>
    <w:p w14:paraId="12B1F434" w14:textId="06C6C7AE" w:rsidR="008B31B0" w:rsidRPr="00BA7ED3" w:rsidRDefault="002C6F0D" w:rsidP="00744AD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6F0D">
        <w:rPr>
          <w:rFonts w:ascii="Arial" w:hAnsi="Arial" w:cs="Arial"/>
          <w:sz w:val="20"/>
          <w:szCs w:val="20"/>
        </w:rPr>
        <w:t xml:space="preserve">Vedle těchto předpisů bylo v dalších </w:t>
      </w:r>
      <w:r w:rsidRPr="002C6F0D">
        <w:rPr>
          <w:rFonts w:ascii="Arial" w:hAnsi="Arial" w:cs="Arial"/>
          <w:b/>
          <w:bCs/>
          <w:sz w:val="20"/>
          <w:szCs w:val="20"/>
        </w:rPr>
        <w:t xml:space="preserve">62 případech </w:t>
      </w:r>
      <w:r w:rsidR="00B507E0">
        <w:rPr>
          <w:rFonts w:ascii="Arial" w:hAnsi="Arial" w:cs="Arial"/>
          <w:b/>
          <w:bCs/>
          <w:sz w:val="20"/>
          <w:szCs w:val="20"/>
        </w:rPr>
        <w:t>prokázáno</w:t>
      </w:r>
      <w:r w:rsidRPr="002C6F0D">
        <w:rPr>
          <w:rFonts w:ascii="Arial" w:hAnsi="Arial" w:cs="Arial"/>
          <w:b/>
          <w:bCs/>
          <w:sz w:val="20"/>
          <w:szCs w:val="20"/>
        </w:rPr>
        <w:t xml:space="preserve"> porušení ostatních právních předpisů</w:t>
      </w:r>
      <w:r w:rsidRPr="002C6F0D">
        <w:rPr>
          <w:rFonts w:ascii="Arial" w:hAnsi="Arial" w:cs="Arial"/>
          <w:sz w:val="20"/>
          <w:szCs w:val="20"/>
        </w:rPr>
        <w:t xml:space="preserve"> spadajících do dozorové působnosti Č</w:t>
      </w:r>
      <w:r w:rsidR="00F004D4">
        <w:rPr>
          <w:rFonts w:ascii="Arial" w:hAnsi="Arial" w:cs="Arial"/>
          <w:sz w:val="20"/>
          <w:szCs w:val="20"/>
        </w:rPr>
        <w:t>OI</w:t>
      </w:r>
      <w:r w:rsidRPr="002C6F0D">
        <w:rPr>
          <w:rFonts w:ascii="Arial" w:hAnsi="Arial" w:cs="Arial"/>
          <w:sz w:val="20"/>
          <w:szCs w:val="20"/>
        </w:rPr>
        <w:t xml:space="preserve">. </w:t>
      </w:r>
      <w:r w:rsidRPr="00BA7ED3">
        <w:rPr>
          <w:rFonts w:ascii="Arial" w:hAnsi="Arial" w:cs="Arial"/>
          <w:sz w:val="20"/>
          <w:szCs w:val="20"/>
        </w:rPr>
        <w:t>Nejčastěji šlo o porušení nařízení E</w:t>
      </w:r>
      <w:r w:rsidR="00BA7ED3" w:rsidRPr="00BA7ED3">
        <w:rPr>
          <w:rFonts w:ascii="Arial" w:hAnsi="Arial" w:cs="Arial"/>
          <w:sz w:val="20"/>
          <w:szCs w:val="20"/>
        </w:rPr>
        <w:t>P</w:t>
      </w:r>
      <w:r w:rsidRPr="00BA7ED3">
        <w:rPr>
          <w:rFonts w:ascii="Arial" w:hAnsi="Arial" w:cs="Arial"/>
          <w:sz w:val="20"/>
          <w:szCs w:val="20"/>
        </w:rPr>
        <w:t xml:space="preserve"> a Rady (EU) 2023/988 o obecné bezpečnosti výrobků, zákona o požadavcích na přístupnost některých výrobků a služeb, zákona o výrobcích s ukončenou životností či zákona o technických požadavcích na výrobky. Kontroly dále odhalily porušení zákona o cenách, zákona o kontrole nebo evropských nařízení upravujících označování textilních výrobků a osobních ochranných prostředků.</w:t>
      </w:r>
    </w:p>
    <w:p w14:paraId="29EBCED4" w14:textId="79980477" w:rsidR="00744AD4" w:rsidRPr="00744AD4" w:rsidRDefault="00744AD4" w:rsidP="00744AD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44AD4">
        <w:rPr>
          <w:rFonts w:ascii="Arial" w:hAnsi="Arial" w:cs="Arial"/>
          <w:sz w:val="20"/>
          <w:szCs w:val="20"/>
        </w:rPr>
        <w:lastRenderedPageBreak/>
        <w:t xml:space="preserve">Na základě porušení právních předpisů zjištěných v rámci celoroční kontrolní akce zaměřené na internetový prodej </w:t>
      </w:r>
      <w:r w:rsidRPr="00744AD4">
        <w:rPr>
          <w:rFonts w:ascii="Arial" w:hAnsi="Arial" w:cs="Arial"/>
          <w:b/>
          <w:bCs/>
          <w:sz w:val="20"/>
          <w:szCs w:val="20"/>
        </w:rPr>
        <w:t xml:space="preserve">nabylo v prvním čtvrtletí </w:t>
      </w:r>
      <w:r w:rsidR="00F31FA1">
        <w:rPr>
          <w:rFonts w:ascii="Arial" w:hAnsi="Arial" w:cs="Arial"/>
          <w:b/>
          <w:bCs/>
          <w:sz w:val="20"/>
          <w:szCs w:val="20"/>
        </w:rPr>
        <w:t xml:space="preserve">letošního roku </w:t>
      </w:r>
      <w:r w:rsidRPr="00744AD4">
        <w:rPr>
          <w:rFonts w:ascii="Arial" w:hAnsi="Arial" w:cs="Arial"/>
          <w:b/>
          <w:bCs/>
          <w:sz w:val="20"/>
          <w:szCs w:val="20"/>
        </w:rPr>
        <w:t>právní moci celkem 161 pokut v souhrnné výši</w:t>
      </w:r>
      <w:r w:rsidR="00D0177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44AD4">
        <w:rPr>
          <w:rFonts w:ascii="Arial" w:hAnsi="Arial" w:cs="Arial"/>
          <w:b/>
          <w:bCs/>
          <w:sz w:val="20"/>
          <w:szCs w:val="20"/>
        </w:rPr>
        <w:t>4 534 000 Kč.</w:t>
      </w:r>
      <w:r w:rsidRPr="00744AD4">
        <w:rPr>
          <w:rFonts w:ascii="Arial" w:hAnsi="Arial" w:cs="Arial"/>
          <w:sz w:val="20"/>
          <w:szCs w:val="20"/>
        </w:rPr>
        <w:t xml:space="preserve"> Uložené sankce se týkaly zejména porušení povinností vyplývajících ze zákona o ochraně spotřebitele, občanského zákoníku a dalších právních předpisů upravujících oblast internetového obchodování.</w:t>
      </w:r>
    </w:p>
    <w:p w14:paraId="4ABEC200" w14:textId="21F81918" w:rsidR="00744AD4" w:rsidRPr="004A0FA9" w:rsidRDefault="00744AD4" w:rsidP="004A0FA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4AD4">
        <w:rPr>
          <w:rFonts w:ascii="Arial" w:hAnsi="Arial" w:cs="Arial"/>
          <w:b/>
          <w:bCs/>
          <w:sz w:val="20"/>
          <w:szCs w:val="20"/>
        </w:rPr>
        <w:t xml:space="preserve">Součástí kontrolní akce byla nově také kontrola plnění požadavků na přístupnost služeb elektronického obchodování podle zákona č. 424/2023 Sb., o požadavcích na přístupnost některých výrobků a služeb. </w:t>
      </w:r>
      <w:r w:rsidRPr="00854B6A">
        <w:rPr>
          <w:rFonts w:ascii="Arial" w:hAnsi="Arial" w:cs="Arial"/>
          <w:sz w:val="20"/>
          <w:szCs w:val="20"/>
        </w:rPr>
        <w:t>Tento zákon ukládá provozovatelům internetových obchodů povinnost zajistit, aby jejich webové stránky a mobilní aplikace byly přístupné i osobám se zdravotním nebo funkčním omezením.</w:t>
      </w:r>
      <w:r w:rsidR="004A0FA9" w:rsidRPr="00854B6A">
        <w:rPr>
          <w:rFonts w:ascii="Arial" w:hAnsi="Arial" w:cs="Arial"/>
          <w:sz w:val="20"/>
          <w:szCs w:val="20"/>
        </w:rPr>
        <w:t xml:space="preserve"> Bylo zjištěno 6 případů porušení zákona č. 424/2023 Sb., zjištěné</w:t>
      </w:r>
      <w:r w:rsidRPr="004A0FA9">
        <w:rPr>
          <w:rFonts w:ascii="Arial" w:hAnsi="Arial" w:cs="Arial"/>
          <w:sz w:val="20"/>
          <w:szCs w:val="20"/>
        </w:rPr>
        <w:t xml:space="preserve"> nedostatky byly </w:t>
      </w:r>
      <w:r w:rsidR="004A0FA9">
        <w:rPr>
          <w:rFonts w:ascii="Arial" w:hAnsi="Arial" w:cs="Arial"/>
          <w:sz w:val="20"/>
          <w:szCs w:val="20"/>
        </w:rPr>
        <w:t xml:space="preserve">ponejvíce </w:t>
      </w:r>
      <w:r w:rsidRPr="004A0FA9">
        <w:rPr>
          <w:rFonts w:ascii="Arial" w:hAnsi="Arial" w:cs="Arial"/>
          <w:sz w:val="20"/>
          <w:szCs w:val="20"/>
        </w:rPr>
        <w:t>řešeny uložením opatření k</w:t>
      </w:r>
      <w:r w:rsidR="004A0FA9">
        <w:rPr>
          <w:rFonts w:ascii="Arial" w:hAnsi="Arial" w:cs="Arial"/>
          <w:sz w:val="20"/>
          <w:szCs w:val="20"/>
        </w:rPr>
        <w:t> </w:t>
      </w:r>
      <w:r w:rsidRPr="004A0FA9">
        <w:rPr>
          <w:rFonts w:ascii="Arial" w:hAnsi="Arial" w:cs="Arial"/>
          <w:sz w:val="20"/>
          <w:szCs w:val="20"/>
        </w:rPr>
        <w:t>nápravě.</w:t>
      </w:r>
    </w:p>
    <w:p w14:paraId="21CB63B3" w14:textId="6249A9E6" w:rsidR="005438D9" w:rsidRDefault="00744AD4" w:rsidP="005438D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0316">
        <w:rPr>
          <w:rFonts w:ascii="Arial" w:hAnsi="Arial" w:cs="Arial"/>
          <w:sz w:val="20"/>
          <w:szCs w:val="20"/>
        </w:rPr>
        <w:t>Výsledky kontrolní činnosti zaměřené na internetové obchodování v prvním čtvrtletí potvrzují, že v</w:t>
      </w:r>
      <w:r w:rsidR="00434E30" w:rsidRPr="00740316">
        <w:rPr>
          <w:rFonts w:ascii="Arial" w:hAnsi="Arial" w:cs="Arial"/>
          <w:sz w:val="20"/>
          <w:szCs w:val="20"/>
        </w:rPr>
        <w:t xml:space="preserve"> této </w:t>
      </w:r>
      <w:r w:rsidRPr="00740316">
        <w:rPr>
          <w:rFonts w:ascii="Arial" w:hAnsi="Arial" w:cs="Arial"/>
          <w:sz w:val="20"/>
          <w:szCs w:val="20"/>
        </w:rPr>
        <w:t>oblasti přetrvávají nedostatky v dodržování právních povinností vůči spotřebitelům. Kontroly opakovaně prokazují pochybení zejména při poskytování povinných informací</w:t>
      </w:r>
      <w:r w:rsidR="007F2E4A" w:rsidRPr="00740316">
        <w:rPr>
          <w:rFonts w:ascii="Arial" w:hAnsi="Arial" w:cs="Arial"/>
          <w:sz w:val="20"/>
          <w:szCs w:val="20"/>
        </w:rPr>
        <w:t xml:space="preserve"> </w:t>
      </w:r>
      <w:r w:rsidRPr="00740316">
        <w:rPr>
          <w:rFonts w:ascii="Arial" w:hAnsi="Arial" w:cs="Arial"/>
          <w:sz w:val="20"/>
          <w:szCs w:val="20"/>
        </w:rPr>
        <w:t>v oblasti práva na odstoupení od smlouvy, podmínek reklamací či úplnosti informací o nabízeném zboží a službách. Zjištěná porušení ukazují, že část prodávajících nevěnuje dostatečnou pozornost zákonným požadavkům spojeným s internetovým prodejem, přestože jde o oblast s vysokým dopadem na ochranu spotřebitele.</w:t>
      </w:r>
      <w:r w:rsidR="00C77D64">
        <w:rPr>
          <w:rFonts w:ascii="Arial" w:hAnsi="Arial" w:cs="Arial"/>
          <w:sz w:val="20"/>
          <w:szCs w:val="20"/>
        </w:rPr>
        <w:t xml:space="preserve"> </w:t>
      </w:r>
      <w:r w:rsidR="005438D9" w:rsidRPr="005438D9">
        <w:rPr>
          <w:rFonts w:ascii="Arial" w:hAnsi="Arial" w:cs="Arial"/>
          <w:sz w:val="20"/>
          <w:szCs w:val="20"/>
        </w:rPr>
        <w:t>Současně je třeba zdůraznit, že výběr kontrolovaných subjektů je cílený. Kontroly jsou realizovány zejména na základě podnětů spotřebitelů, podezření na používání nekalých obchodních praktik nebo</w:t>
      </w:r>
      <w:r w:rsidR="005438D9">
        <w:rPr>
          <w:rFonts w:ascii="Arial" w:hAnsi="Arial" w:cs="Arial"/>
          <w:sz w:val="20"/>
          <w:szCs w:val="20"/>
        </w:rPr>
        <w:t xml:space="preserve"> </w:t>
      </w:r>
      <w:r w:rsidR="005438D9" w:rsidRPr="005438D9">
        <w:rPr>
          <w:rFonts w:ascii="Arial" w:hAnsi="Arial" w:cs="Arial"/>
          <w:sz w:val="20"/>
          <w:szCs w:val="20"/>
        </w:rPr>
        <w:t>na základě zjištění souvisejících s prodejem nebezpečných výrobků. Výsledky kontrol proto nelze</w:t>
      </w:r>
      <w:r w:rsidR="005438D9">
        <w:rPr>
          <w:rFonts w:ascii="Arial" w:hAnsi="Arial" w:cs="Arial"/>
          <w:sz w:val="20"/>
          <w:szCs w:val="20"/>
        </w:rPr>
        <w:t xml:space="preserve"> </w:t>
      </w:r>
      <w:r w:rsidR="005438D9" w:rsidRPr="005438D9">
        <w:rPr>
          <w:rFonts w:ascii="Arial" w:hAnsi="Arial" w:cs="Arial"/>
          <w:sz w:val="20"/>
          <w:szCs w:val="20"/>
        </w:rPr>
        <w:t xml:space="preserve">zobecňovat na celý trh internetového obchodování, poukazují především na přetrvávající problémy u rizikových provozovatelů. Kontroly internetových obchodů jsou navíc časově a odborně náročné a zahrnují komplexní posouzení dodržování řady právních povinností, </w:t>
      </w:r>
    </w:p>
    <w:p w14:paraId="59E228C6" w14:textId="71B163D6" w:rsidR="00744AD4" w:rsidRPr="00774306" w:rsidRDefault="00744AD4" w:rsidP="00744AD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C0BDB">
        <w:rPr>
          <w:rFonts w:ascii="Arial" w:hAnsi="Arial" w:cs="Arial"/>
          <w:b/>
          <w:bCs/>
          <w:sz w:val="20"/>
          <w:szCs w:val="20"/>
        </w:rPr>
        <w:t>Za dlouhodobě problematickou oblast lze označit prodej prostřednictvím sociálních sítí a on</w:t>
      </w:r>
      <w:r w:rsidR="00884D60" w:rsidRPr="004C0BDB">
        <w:rPr>
          <w:rFonts w:ascii="Arial" w:hAnsi="Arial" w:cs="Arial"/>
          <w:b/>
          <w:bCs/>
          <w:sz w:val="20"/>
          <w:szCs w:val="20"/>
        </w:rPr>
        <w:t>-</w:t>
      </w:r>
      <w:r w:rsidRPr="004C0BDB">
        <w:rPr>
          <w:rFonts w:ascii="Arial" w:hAnsi="Arial" w:cs="Arial"/>
          <w:b/>
          <w:bCs/>
          <w:sz w:val="20"/>
          <w:szCs w:val="20"/>
        </w:rPr>
        <w:t>line tržišť. V případě sociálních sítí se opakovaně objevují nabídky zboží porušujícího práva duševního vlastnictví, zatímco u on</w:t>
      </w:r>
      <w:r w:rsidR="00884D60" w:rsidRPr="004C0BDB">
        <w:rPr>
          <w:rFonts w:ascii="Arial" w:hAnsi="Arial" w:cs="Arial"/>
          <w:b/>
          <w:bCs/>
          <w:sz w:val="20"/>
          <w:szCs w:val="20"/>
        </w:rPr>
        <w:t>-</w:t>
      </w:r>
      <w:r w:rsidRPr="004C0BDB">
        <w:rPr>
          <w:rFonts w:ascii="Arial" w:hAnsi="Arial" w:cs="Arial"/>
          <w:b/>
          <w:bCs/>
          <w:sz w:val="20"/>
          <w:szCs w:val="20"/>
        </w:rPr>
        <w:t>line tržišť dochází ke komplikacím zejména v otázce odpovědnosti jednotlivých prodávajících a transparentnosti smluvních vztahů</w:t>
      </w:r>
      <w:r w:rsidR="00774306">
        <w:rPr>
          <w:rFonts w:ascii="Arial" w:hAnsi="Arial" w:cs="Arial"/>
          <w:b/>
          <w:bCs/>
          <w:sz w:val="20"/>
          <w:szCs w:val="20"/>
        </w:rPr>
        <w:t>!</w:t>
      </w:r>
      <w:r w:rsidRPr="004C0B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4306">
        <w:rPr>
          <w:rFonts w:ascii="Arial" w:hAnsi="Arial" w:cs="Arial"/>
          <w:b/>
          <w:bCs/>
          <w:sz w:val="20"/>
          <w:szCs w:val="20"/>
        </w:rPr>
        <w:t>Spotřebitelé často nemají dostatečné informace o tom, s kým smlouvu uzavírají, což může významně ztížit následné uplatňování jejich práv.</w:t>
      </w:r>
    </w:p>
    <w:p w14:paraId="24D0B69B" w14:textId="62D6FA51" w:rsidR="00807D68" w:rsidRPr="000E777C" w:rsidRDefault="00744AD4" w:rsidP="002C6F0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4AD4">
        <w:rPr>
          <w:rFonts w:ascii="Arial" w:hAnsi="Arial" w:cs="Arial"/>
          <w:sz w:val="20"/>
          <w:szCs w:val="20"/>
        </w:rPr>
        <w:t>Zjištěné výsledky potvrzují potřebu systematického dozoru nad on</w:t>
      </w:r>
      <w:r w:rsidR="00884D60">
        <w:rPr>
          <w:rFonts w:ascii="Arial" w:hAnsi="Arial" w:cs="Arial"/>
          <w:sz w:val="20"/>
          <w:szCs w:val="20"/>
        </w:rPr>
        <w:t>-</w:t>
      </w:r>
      <w:r w:rsidRPr="00744AD4">
        <w:rPr>
          <w:rFonts w:ascii="Arial" w:hAnsi="Arial" w:cs="Arial"/>
          <w:sz w:val="20"/>
          <w:szCs w:val="20"/>
        </w:rPr>
        <w:t>line trhem, který se dynamicky vyvíjí a přináší nové formy obchodních modelů i nová rizika pro spotřebitele.</w:t>
      </w:r>
    </w:p>
    <w:sectPr w:rsidR="00807D68" w:rsidRPr="000E777C" w:rsidSect="00663C7B">
      <w:headerReference w:type="default" r:id="rId8"/>
      <w:footerReference w:type="default" r:id="rId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BD1C" w14:textId="77777777" w:rsidR="0049338A" w:rsidRDefault="0049338A" w:rsidP="00807D68">
      <w:pPr>
        <w:spacing w:after="0" w:line="240" w:lineRule="auto"/>
      </w:pPr>
      <w:r>
        <w:separator/>
      </w:r>
    </w:p>
  </w:endnote>
  <w:endnote w:type="continuationSeparator" w:id="0">
    <w:p w14:paraId="740499FD" w14:textId="77777777" w:rsidR="0049338A" w:rsidRDefault="0049338A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33ED" w14:textId="77777777" w:rsidR="0049338A" w:rsidRDefault="0049338A" w:rsidP="00807D68">
      <w:pPr>
        <w:spacing w:after="0" w:line="240" w:lineRule="auto"/>
      </w:pPr>
      <w:r>
        <w:separator/>
      </w:r>
    </w:p>
  </w:footnote>
  <w:footnote w:type="continuationSeparator" w:id="0">
    <w:p w14:paraId="15070BFB" w14:textId="77777777" w:rsidR="0049338A" w:rsidRDefault="0049338A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0A26"/>
    <w:rsid w:val="00001014"/>
    <w:rsid w:val="00007B29"/>
    <w:rsid w:val="0001227F"/>
    <w:rsid w:val="000277BA"/>
    <w:rsid w:val="0004278B"/>
    <w:rsid w:val="00071B92"/>
    <w:rsid w:val="000879A3"/>
    <w:rsid w:val="000A1B72"/>
    <w:rsid w:val="000A5922"/>
    <w:rsid w:val="000B3C18"/>
    <w:rsid w:val="000B5018"/>
    <w:rsid w:val="000E777C"/>
    <w:rsid w:val="001061EA"/>
    <w:rsid w:val="00110DDF"/>
    <w:rsid w:val="0012546B"/>
    <w:rsid w:val="00161E69"/>
    <w:rsid w:val="00186894"/>
    <w:rsid w:val="001B2865"/>
    <w:rsid w:val="001B5AC0"/>
    <w:rsid w:val="001C2A8A"/>
    <w:rsid w:val="001D0E07"/>
    <w:rsid w:val="00204B4E"/>
    <w:rsid w:val="0020748A"/>
    <w:rsid w:val="00262DC5"/>
    <w:rsid w:val="00272392"/>
    <w:rsid w:val="002A1B12"/>
    <w:rsid w:val="002C6F0D"/>
    <w:rsid w:val="002D2D0E"/>
    <w:rsid w:val="002E3349"/>
    <w:rsid w:val="00306C59"/>
    <w:rsid w:val="00316FCD"/>
    <w:rsid w:val="00350179"/>
    <w:rsid w:val="003550DC"/>
    <w:rsid w:val="00361C2C"/>
    <w:rsid w:val="00370AE7"/>
    <w:rsid w:val="00383750"/>
    <w:rsid w:val="003876CE"/>
    <w:rsid w:val="00393BA9"/>
    <w:rsid w:val="003B46D7"/>
    <w:rsid w:val="003D26E7"/>
    <w:rsid w:val="003E3B85"/>
    <w:rsid w:val="0040281D"/>
    <w:rsid w:val="00425DCF"/>
    <w:rsid w:val="004269AD"/>
    <w:rsid w:val="00434E30"/>
    <w:rsid w:val="00452607"/>
    <w:rsid w:val="00462273"/>
    <w:rsid w:val="0046373B"/>
    <w:rsid w:val="004734BA"/>
    <w:rsid w:val="00491B07"/>
    <w:rsid w:val="0049338A"/>
    <w:rsid w:val="00494ACB"/>
    <w:rsid w:val="004A0FA9"/>
    <w:rsid w:val="004C0BDB"/>
    <w:rsid w:val="004D116F"/>
    <w:rsid w:val="004E1767"/>
    <w:rsid w:val="004F6657"/>
    <w:rsid w:val="00517C87"/>
    <w:rsid w:val="005438D9"/>
    <w:rsid w:val="00586F67"/>
    <w:rsid w:val="005A3A49"/>
    <w:rsid w:val="005A4C5C"/>
    <w:rsid w:val="005F776A"/>
    <w:rsid w:val="00616E2B"/>
    <w:rsid w:val="00663C7B"/>
    <w:rsid w:val="00674F24"/>
    <w:rsid w:val="00680A44"/>
    <w:rsid w:val="006B08B4"/>
    <w:rsid w:val="006D74C9"/>
    <w:rsid w:val="006F6E8B"/>
    <w:rsid w:val="00716C97"/>
    <w:rsid w:val="00735C36"/>
    <w:rsid w:val="00736907"/>
    <w:rsid w:val="00740316"/>
    <w:rsid w:val="00744AD4"/>
    <w:rsid w:val="00760CBD"/>
    <w:rsid w:val="00771D49"/>
    <w:rsid w:val="00774306"/>
    <w:rsid w:val="00784580"/>
    <w:rsid w:val="00786DEC"/>
    <w:rsid w:val="007962E9"/>
    <w:rsid w:val="007A79F2"/>
    <w:rsid w:val="007C40CF"/>
    <w:rsid w:val="007F2E4A"/>
    <w:rsid w:val="00807D68"/>
    <w:rsid w:val="008144CB"/>
    <w:rsid w:val="00854B6A"/>
    <w:rsid w:val="00884D60"/>
    <w:rsid w:val="00886D5C"/>
    <w:rsid w:val="008B30D2"/>
    <w:rsid w:val="008B31B0"/>
    <w:rsid w:val="008B609A"/>
    <w:rsid w:val="009000D1"/>
    <w:rsid w:val="00901118"/>
    <w:rsid w:val="00906331"/>
    <w:rsid w:val="0090767D"/>
    <w:rsid w:val="00923985"/>
    <w:rsid w:val="00936FA8"/>
    <w:rsid w:val="00955DA0"/>
    <w:rsid w:val="00970F06"/>
    <w:rsid w:val="009B7BA5"/>
    <w:rsid w:val="00A411E1"/>
    <w:rsid w:val="00A44B63"/>
    <w:rsid w:val="00A53686"/>
    <w:rsid w:val="00A57931"/>
    <w:rsid w:val="00A77801"/>
    <w:rsid w:val="00A83633"/>
    <w:rsid w:val="00A914FB"/>
    <w:rsid w:val="00AA2160"/>
    <w:rsid w:val="00AA6696"/>
    <w:rsid w:val="00AB1213"/>
    <w:rsid w:val="00B44F4B"/>
    <w:rsid w:val="00B507E0"/>
    <w:rsid w:val="00B55CC6"/>
    <w:rsid w:val="00B96A99"/>
    <w:rsid w:val="00BA7ED3"/>
    <w:rsid w:val="00BB03AA"/>
    <w:rsid w:val="00BD6DED"/>
    <w:rsid w:val="00C031CB"/>
    <w:rsid w:val="00C33158"/>
    <w:rsid w:val="00C44506"/>
    <w:rsid w:val="00C5569F"/>
    <w:rsid w:val="00C56875"/>
    <w:rsid w:val="00C77654"/>
    <w:rsid w:val="00C77D64"/>
    <w:rsid w:val="00C97D46"/>
    <w:rsid w:val="00CD2A62"/>
    <w:rsid w:val="00D00046"/>
    <w:rsid w:val="00D01777"/>
    <w:rsid w:val="00D100A7"/>
    <w:rsid w:val="00D5262A"/>
    <w:rsid w:val="00D617B1"/>
    <w:rsid w:val="00D66CD2"/>
    <w:rsid w:val="00D763A0"/>
    <w:rsid w:val="00D90F72"/>
    <w:rsid w:val="00D9700A"/>
    <w:rsid w:val="00DC5B7E"/>
    <w:rsid w:val="00DD5B23"/>
    <w:rsid w:val="00DE0598"/>
    <w:rsid w:val="00DE2312"/>
    <w:rsid w:val="00E50E4E"/>
    <w:rsid w:val="00E641FF"/>
    <w:rsid w:val="00ED2909"/>
    <w:rsid w:val="00ED4CDF"/>
    <w:rsid w:val="00EE0583"/>
    <w:rsid w:val="00EE2CE1"/>
    <w:rsid w:val="00EF05C6"/>
    <w:rsid w:val="00F004D4"/>
    <w:rsid w:val="00F12962"/>
    <w:rsid w:val="00F168AF"/>
    <w:rsid w:val="00F31FA1"/>
    <w:rsid w:val="00F34A6A"/>
    <w:rsid w:val="00F4039A"/>
    <w:rsid w:val="00F45592"/>
    <w:rsid w:val="00F5406C"/>
    <w:rsid w:val="00F55D33"/>
    <w:rsid w:val="00FA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177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4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4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4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C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1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872</Words>
  <Characters>5589</Characters>
  <Application>Microsoft Office Word</Application>
  <DocSecurity>0</DocSecurity>
  <Lines>76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26</cp:revision>
  <cp:lastPrinted>2024-01-04T13:06:00Z</cp:lastPrinted>
  <dcterms:created xsi:type="dcterms:W3CDTF">2026-06-17T14:02:00Z</dcterms:created>
  <dcterms:modified xsi:type="dcterms:W3CDTF">2026-07-15T07:24:00Z</dcterms:modified>
</cp:coreProperties>
</file>