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82C4" w14:textId="77777777" w:rsidR="0005151E" w:rsidRPr="0028654E" w:rsidRDefault="0005151E" w:rsidP="0005151E">
      <w:pPr>
        <w:spacing w:before="240"/>
        <w:jc w:val="right"/>
        <w:rPr>
          <w:rFonts w:ascii="Arial" w:hAnsi="Arial" w:cs="Arial"/>
          <w:color w:val="2658A5"/>
          <w:sz w:val="48"/>
          <w:szCs w:val="48"/>
          <w:lang w:val="en-GB"/>
        </w:rPr>
      </w:pPr>
      <w:r w:rsidRPr="0028654E">
        <w:rPr>
          <w:rFonts w:ascii="Arial" w:eastAsia="Calibri" w:hAnsi="Arial" w:cs="Arial"/>
          <w:b/>
          <w:bCs/>
          <w:sz w:val="20"/>
          <w:szCs w:val="20"/>
          <w:lang w:val="en-GB"/>
        </w:rPr>
        <w:drawing>
          <wp:anchor distT="0" distB="0" distL="114300" distR="114300" simplePos="0" relativeHeight="251659264" behindDoc="0" locked="0" layoutInCell="1" allowOverlap="1" wp14:anchorId="13393F1F" wp14:editId="1637384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695575" cy="511379"/>
            <wp:effectExtent l="0" t="0" r="0" b="3175"/>
            <wp:wrapNone/>
            <wp:docPr id="1284560963" name="Obrázek 1" descr="Obsah obrázku Písmo, Grafika, text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60963" name="Obrázek 1" descr="Obsah obrázku Písmo, Grafika, text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1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54E">
        <w:rPr>
          <w:rFonts w:ascii="Arial" w:hAnsi="Arial" w:cs="Arial"/>
          <w:color w:val="2658A5"/>
          <w:sz w:val="48"/>
          <w:szCs w:val="48"/>
          <w:lang w:val="en-GB"/>
        </w:rPr>
        <w:t>PRESS RELEASE</w:t>
      </w:r>
    </w:p>
    <w:p w14:paraId="7BDC8DE0" w14:textId="77777777" w:rsidR="003E3B85" w:rsidRPr="0028654E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  <w:lang w:val="en-GB"/>
        </w:rPr>
      </w:pPr>
    </w:p>
    <w:p w14:paraId="3108467A" w14:textId="27C347A8" w:rsidR="0028654E" w:rsidRPr="0028654E" w:rsidRDefault="0028654E" w:rsidP="0028654E">
      <w:pPr>
        <w:pStyle w:val="Default"/>
        <w:spacing w:after="200"/>
        <w:jc w:val="both"/>
        <w:rPr>
          <w:rFonts w:eastAsiaTheme="minorHAnsi"/>
          <w:b/>
          <w:bCs/>
          <w:color w:val="2658A5"/>
          <w:sz w:val="32"/>
          <w:szCs w:val="32"/>
          <w:lang w:val="en-GB"/>
        </w:rPr>
      </w:pPr>
      <w:r w:rsidRPr="0028654E">
        <w:rPr>
          <w:rFonts w:eastAsiaTheme="minorHAnsi"/>
          <w:b/>
          <w:bCs/>
          <w:color w:val="2658A5"/>
          <w:sz w:val="32"/>
          <w:szCs w:val="32"/>
          <w:lang w:val="en-GB"/>
        </w:rPr>
        <w:t>CTIA inspected second-hand shops and pawnshops. In nearly half of last year’s inspections, it found breaches of legal regulations</w:t>
      </w:r>
    </w:p>
    <w:p w14:paraId="25848A64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i/>
          <w:iCs/>
          <w:sz w:val="20"/>
          <w:szCs w:val="20"/>
          <w:lang w:val="en-GB"/>
        </w:rPr>
        <w:t>(Final Report for 2025)</w:t>
      </w:r>
    </w:p>
    <w:p w14:paraId="68BDF086" w14:textId="77777777" w:rsidR="0028654E" w:rsidRPr="0028654E" w:rsidRDefault="0028654E" w:rsidP="0028654E">
      <w:pPr>
        <w:pStyle w:val="Default"/>
        <w:spacing w:after="200"/>
        <w:jc w:val="both"/>
        <w:rPr>
          <w:b/>
          <w:bCs/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(Prague, March 24, 2026) </w:t>
      </w:r>
      <w:r w:rsidRPr="0028654E">
        <w:rPr>
          <w:b/>
          <w:bCs/>
          <w:sz w:val="20"/>
          <w:szCs w:val="20"/>
          <w:lang w:val="en-GB"/>
        </w:rPr>
        <w:t xml:space="preserve">During last year, the Czech Trade Inspection Authority (CTIA) conducted a total of 201 inspections of flea markets, pawnshops, and antique shops within an inspection activity. It found breaches of legal regulations within the CTIA’s surveillance scope in 99 inspections (49.25%). </w:t>
      </w:r>
    </w:p>
    <w:p w14:paraId="59C1287C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>The aim of the action was to inspect compliance with the obligations imposed on operators of antique shops, second-hand stores, and pawnshops by Act No. 253/2008 Coll., on Certain Measures against the Legalization of Proceeds of Crime and the Financing of Terrorism,</w:t>
      </w:r>
    </w:p>
    <w:p w14:paraId="623AF4C9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>Act No. 247/2006 Coll., on Restrictions on the Operation of Pawnshops and Certain Other Establishments During Nighttime Hours, Act No. 634/1992 Coll., on Consumer Protection, and other legal regulations.</w:t>
      </w:r>
    </w:p>
    <w:p w14:paraId="0ACDB7C3" w14:textId="4CB5CD6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b/>
          <w:bCs/>
          <w:sz w:val="20"/>
          <w:szCs w:val="20"/>
          <w:lang w:val="en-GB"/>
        </w:rPr>
        <w:t xml:space="preserve">In 37 inspections, breaches of one of the provisions of Act No. 253/2008 Coll., on Certain Measures against the Legalization of Proceeds from Crime and the Financing of Terrorism, were identified. There were a total of 48 such cases, including: in 29 cases, the obligated entity (as defined by this Act) failed to identify the client </w:t>
      </w:r>
      <w:r w:rsidRPr="0028654E">
        <w:rPr>
          <w:sz w:val="20"/>
          <w:szCs w:val="20"/>
          <w:lang w:val="en-GB"/>
        </w:rPr>
        <w:t>(Section 7 of this Act)</w:t>
      </w:r>
      <w:r w:rsidRPr="0028654E">
        <w:rPr>
          <w:b/>
          <w:bCs/>
          <w:sz w:val="20"/>
          <w:szCs w:val="20"/>
          <w:lang w:val="en-GB"/>
        </w:rPr>
        <w:t>; in 10 cases, the obligated entity failed to carry out an inspe</w:t>
      </w:r>
      <w:r>
        <w:rPr>
          <w:b/>
          <w:bCs/>
          <w:sz w:val="20"/>
          <w:szCs w:val="20"/>
          <w:lang w:val="en-GB"/>
        </w:rPr>
        <w:t>c</w:t>
      </w:r>
      <w:r w:rsidRPr="0028654E">
        <w:rPr>
          <w:b/>
          <w:bCs/>
          <w:sz w:val="20"/>
          <w:szCs w:val="20"/>
          <w:lang w:val="en-GB"/>
        </w:rPr>
        <w:t xml:space="preserve">tion of the client </w:t>
      </w:r>
      <w:r w:rsidRPr="0028654E">
        <w:rPr>
          <w:sz w:val="20"/>
          <w:szCs w:val="20"/>
          <w:lang w:val="en-GB"/>
        </w:rPr>
        <w:t xml:space="preserve">(Section 9 of this Act); and </w:t>
      </w:r>
      <w:r w:rsidRPr="0028654E">
        <w:rPr>
          <w:b/>
          <w:bCs/>
          <w:sz w:val="20"/>
          <w:szCs w:val="20"/>
          <w:lang w:val="en-GB"/>
        </w:rPr>
        <w:t>in 9 cases, the obligated entity failed to ensure that employees received training</w:t>
      </w:r>
      <w:r w:rsidRPr="0028654E">
        <w:rPr>
          <w:sz w:val="20"/>
          <w:szCs w:val="20"/>
          <w:lang w:val="en-GB"/>
        </w:rPr>
        <w:t xml:space="preserve"> </w:t>
      </w:r>
      <w:r w:rsidRPr="0028654E">
        <w:rPr>
          <w:b/>
          <w:bCs/>
          <w:sz w:val="20"/>
          <w:szCs w:val="20"/>
          <w:lang w:val="en-GB"/>
        </w:rPr>
        <w:t xml:space="preserve">in accordance with the requirements of </w:t>
      </w:r>
      <w:r w:rsidRPr="0028654E">
        <w:rPr>
          <w:sz w:val="20"/>
          <w:szCs w:val="20"/>
          <w:lang w:val="en-GB"/>
        </w:rPr>
        <w:t xml:space="preserve">Section 23 </w:t>
      </w:r>
      <w:r w:rsidRPr="0028654E">
        <w:rPr>
          <w:b/>
          <w:bCs/>
          <w:sz w:val="20"/>
          <w:szCs w:val="20"/>
          <w:lang w:val="en-GB"/>
        </w:rPr>
        <w:t xml:space="preserve">of this Act. In some inspections, multiple breaches of the </w:t>
      </w:r>
      <w:r w:rsidR="00670133" w:rsidRPr="0028654E">
        <w:rPr>
          <w:b/>
          <w:bCs/>
          <w:sz w:val="20"/>
          <w:szCs w:val="20"/>
          <w:lang w:val="en-GB"/>
        </w:rPr>
        <w:t>Act</w:t>
      </w:r>
      <w:r w:rsidRPr="0028654E">
        <w:rPr>
          <w:b/>
          <w:bCs/>
          <w:sz w:val="20"/>
          <w:szCs w:val="20"/>
          <w:lang w:val="en-GB"/>
        </w:rPr>
        <w:t xml:space="preserve"> were identified simultaneously.</w:t>
      </w:r>
    </w:p>
    <w:p w14:paraId="110F672B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Furthermore, 115 cases of </w:t>
      </w:r>
      <w:r w:rsidRPr="0028654E">
        <w:rPr>
          <w:b/>
          <w:bCs/>
          <w:sz w:val="20"/>
          <w:szCs w:val="20"/>
          <w:lang w:val="en-GB"/>
        </w:rPr>
        <w:t>breaches of one of the provisions of the Act</w:t>
      </w:r>
      <w:r w:rsidRPr="0028654E">
        <w:rPr>
          <w:sz w:val="20"/>
          <w:szCs w:val="20"/>
          <w:lang w:val="en-GB"/>
        </w:rPr>
        <w:t xml:space="preserve"> on Consumer Protection were identified during the inspections</w:t>
      </w:r>
    </w:p>
    <w:p w14:paraId="16F5A05C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b/>
          <w:bCs/>
          <w:sz w:val="20"/>
          <w:szCs w:val="20"/>
          <w:lang w:val="en-GB"/>
        </w:rPr>
        <w:t>No. 634/1992 Coll., Act on Consumer Protection</w:t>
      </w:r>
      <w:r w:rsidRPr="0028654E">
        <w:rPr>
          <w:sz w:val="20"/>
          <w:szCs w:val="20"/>
          <w:lang w:val="en-GB"/>
        </w:rPr>
        <w:t>, the most common of which were:</w:t>
      </w:r>
    </w:p>
    <w:p w14:paraId="6815A4B0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>· In 30 cases, sellers failed to indicate on the proof of purchase that the product was used or defective (Section 16(3)</w:t>
      </w:r>
      <w:proofErr w:type="gramStart"/>
      <w:r w:rsidRPr="0028654E">
        <w:rPr>
          <w:sz w:val="20"/>
          <w:szCs w:val="20"/>
          <w:lang w:val="en-GB"/>
        </w:rPr>
        <w:t>);</w:t>
      </w:r>
      <w:proofErr w:type="gramEnd"/>
      <w:r w:rsidRPr="0028654E">
        <w:rPr>
          <w:sz w:val="20"/>
          <w:szCs w:val="20"/>
          <w:lang w:val="en-GB"/>
        </w:rPr>
        <w:t xml:space="preserve"> </w:t>
      </w:r>
    </w:p>
    <w:p w14:paraId="215BE7C7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· </w:t>
      </w:r>
      <w:proofErr w:type="gramStart"/>
      <w:r w:rsidRPr="0028654E">
        <w:rPr>
          <w:sz w:val="20"/>
          <w:szCs w:val="20"/>
          <w:lang w:val="en-GB"/>
        </w:rPr>
        <w:t>in</w:t>
      </w:r>
      <w:proofErr w:type="gramEnd"/>
      <w:r w:rsidRPr="0028654E">
        <w:rPr>
          <w:sz w:val="20"/>
          <w:szCs w:val="20"/>
          <w:lang w:val="en-GB"/>
        </w:rPr>
        <w:t xml:space="preserve"> 26 cases, sellers failed to properly inform consumers about the scope, conditions, and procedure for exercising their rights regarding defective performance, along with information on where to file a complaint (Section 13(1)); </w:t>
      </w:r>
    </w:p>
    <w:p w14:paraId="5DD79016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· </w:t>
      </w:r>
      <w:proofErr w:type="gramStart"/>
      <w:r w:rsidRPr="0028654E">
        <w:rPr>
          <w:sz w:val="20"/>
          <w:szCs w:val="20"/>
          <w:lang w:val="en-GB"/>
        </w:rPr>
        <w:t>in</w:t>
      </w:r>
      <w:proofErr w:type="gramEnd"/>
      <w:r w:rsidRPr="0028654E">
        <w:rPr>
          <w:sz w:val="20"/>
          <w:szCs w:val="20"/>
          <w:lang w:val="en-GB"/>
        </w:rPr>
        <w:t xml:space="preserve"> 17 cases, sellers failed to inform consumers about the entity responsible for out-of-court resolution of consumer disputes (Section 14(1));</w:t>
      </w:r>
    </w:p>
    <w:p w14:paraId="31BF912E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>· In 11 cases, a breach of the seller’s obligation to properly inform consumers of the price of the products offered and services provided was found (Section 12</w:t>
      </w:r>
      <w:proofErr w:type="gramStart"/>
      <w:r w:rsidRPr="0028654E">
        <w:rPr>
          <w:sz w:val="20"/>
          <w:szCs w:val="20"/>
          <w:lang w:val="en-GB"/>
        </w:rPr>
        <w:t>);</w:t>
      </w:r>
      <w:proofErr w:type="gramEnd"/>
    </w:p>
    <w:p w14:paraId="1D316ED9" w14:textId="77777777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>· In 9 cases, sellers failed to clearly inform consumers in advance that they were selling used or modified products, products with defects, or products whose functional properties are otherwise limited (Section 10</w:t>
      </w:r>
      <w:proofErr w:type="gramStart"/>
      <w:r w:rsidRPr="0028654E">
        <w:rPr>
          <w:sz w:val="20"/>
          <w:szCs w:val="20"/>
          <w:lang w:val="en-GB"/>
        </w:rPr>
        <w:t>);</w:t>
      </w:r>
      <w:proofErr w:type="gramEnd"/>
    </w:p>
    <w:p w14:paraId="0C764C35" w14:textId="06736B1E" w:rsidR="0028654E" w:rsidRPr="0028654E" w:rsidRDefault="0028654E" w:rsidP="0028654E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There was a breach of other provisions of the Act in a few cases (22 in total). In a few cases (21 in total), breaches of other legal regulations subject to the CTIA’s surveillance were also identified. No breaches of Act No. 247/2006 Coll., on Restrictions on the Operation of Pawnshops and Certain Other </w:t>
      </w:r>
      <w:r w:rsidRPr="0028654E">
        <w:rPr>
          <w:sz w:val="20"/>
          <w:szCs w:val="20"/>
          <w:lang w:val="en-GB"/>
        </w:rPr>
        <w:lastRenderedPageBreak/>
        <w:t xml:space="preserve">Establishments During Nighttime Hours, as amended, were identified during the inspection activity. Based on the identified breaches of legal regulations within the CTIA’s surveillance scope, </w:t>
      </w:r>
      <w:r w:rsidRPr="0028654E">
        <w:rPr>
          <w:b/>
          <w:bCs/>
          <w:sz w:val="20"/>
          <w:szCs w:val="20"/>
          <w:lang w:val="en-GB"/>
        </w:rPr>
        <w:t xml:space="preserve">92 fines </w:t>
      </w:r>
      <w:r w:rsidRPr="0028654E">
        <w:rPr>
          <w:b/>
          <w:bCs/>
          <w:sz w:val="20"/>
          <w:szCs w:val="20"/>
          <w:lang w:val="en-GB"/>
        </w:rPr>
        <w:t>totalling</w:t>
      </w:r>
      <w:r w:rsidRPr="0028654E">
        <w:rPr>
          <w:b/>
          <w:bCs/>
          <w:sz w:val="20"/>
          <w:szCs w:val="20"/>
          <w:lang w:val="en-GB"/>
        </w:rPr>
        <w:t xml:space="preserve"> 226,500 CZK became final during the period from January 1, 2025, to December 31, 2025</w:t>
      </w:r>
      <w:r w:rsidRPr="0028654E">
        <w:rPr>
          <w:sz w:val="20"/>
          <w:szCs w:val="20"/>
          <w:lang w:val="en-GB"/>
        </w:rPr>
        <w:t>. The results of the inspections confirmed the validity of the inspection activity, as breaches of legal regulations were found in nearly half (49.25%) of the inspected establishments. The Czech Trade Inspection Authority will continue to focus on inspection activities in this area in 2026 as well.</w:t>
      </w:r>
    </w:p>
    <w:p w14:paraId="1A33565F" w14:textId="4FE8CCDE" w:rsidR="0064106F" w:rsidRPr="0028654E" w:rsidRDefault="00543844" w:rsidP="00D86DDA">
      <w:pPr>
        <w:pStyle w:val="Default"/>
        <w:spacing w:after="200"/>
        <w:jc w:val="both"/>
        <w:rPr>
          <w:sz w:val="20"/>
          <w:szCs w:val="20"/>
          <w:lang w:val="en-GB"/>
        </w:rPr>
      </w:pPr>
      <w:r w:rsidRPr="0028654E">
        <w:rPr>
          <w:sz w:val="20"/>
          <w:szCs w:val="20"/>
          <w:lang w:val="en-GB"/>
        </w:rPr>
        <w:t xml:space="preserve"> </w:t>
      </w:r>
    </w:p>
    <w:sectPr w:rsidR="0064106F" w:rsidRPr="0028654E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E2BA5" w14:textId="77777777" w:rsidR="000C4AFC" w:rsidRDefault="000C4AFC" w:rsidP="00807D68">
      <w:pPr>
        <w:spacing w:after="0" w:line="240" w:lineRule="auto"/>
      </w:pPr>
      <w:r>
        <w:separator/>
      </w:r>
    </w:p>
  </w:endnote>
  <w:endnote w:type="continuationSeparator" w:id="0">
    <w:p w14:paraId="1AC13BE3" w14:textId="77777777" w:rsidR="000C4AFC" w:rsidRDefault="000C4AFC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C353" w14:textId="77777777" w:rsidR="004A6E8F" w:rsidRPr="000B3C18" w:rsidRDefault="004A6E8F" w:rsidP="004A6E8F">
    <w:pPr>
      <w:tabs>
        <w:tab w:val="left" w:pos="8295"/>
      </w:tabs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11CD95" wp14:editId="7508C024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127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8AB61" w14:textId="77777777" w:rsidR="004A6E8F" w:rsidRPr="007F2BC4" w:rsidRDefault="004A6E8F" w:rsidP="004A6E8F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fr-FR"/>
                            </w:rPr>
                          </w:pPr>
                          <w:r w:rsidRPr="007F2BC4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fr-FR"/>
                            </w:rPr>
                            <w:t>Phone: +420 296 366 233</w:t>
                          </w:r>
                          <w:r w:rsidRPr="007F2BC4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fr-FR"/>
                            </w:rPr>
                            <w:br/>
                            <w:t>Mobile: +420 731 553 732</w:t>
                          </w:r>
                          <w:r w:rsidRPr="007F2BC4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fr-FR"/>
                            </w:rPr>
                            <w:br/>
                            <w:t>E-mail: mluvci@coi.gov.cz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1CD9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0398AB61" w14:textId="77777777" w:rsidR="004A6E8F" w:rsidRPr="007F2BC4" w:rsidRDefault="004A6E8F" w:rsidP="004A6E8F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  <w:lang w:val="fr-FR"/>
                      </w:rPr>
                    </w:pPr>
                    <w:r w:rsidRPr="007F2BC4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fr-FR"/>
                      </w:rPr>
                      <w:t>Phone: +420 296 366 233</w:t>
                    </w:r>
                    <w:r w:rsidRPr="007F2BC4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fr-FR"/>
                      </w:rPr>
                      <w:br/>
                      <w:t>Mobile: +420 731 553 732</w:t>
                    </w:r>
                    <w:r w:rsidRPr="007F2BC4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fr-FR"/>
                      </w:rPr>
                      <w:br/>
                      <w:t>E-mail: mluvci@coi.gov.cz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C01E62" wp14:editId="445A98CD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36169" w14:textId="77777777" w:rsidR="004A6E8F" w:rsidRPr="00DC6D14" w:rsidRDefault="004A6E8F" w:rsidP="004A6E8F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DC6D14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  <w:lang w:val="en-GB"/>
                            </w:rPr>
                            <w:t>Contact: Spokesperson of the CTIA</w:t>
                          </w:r>
                          <w:r w:rsidRPr="00DC6D14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  <w:lang w:val="en-GB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01E62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12F36169" w14:textId="77777777" w:rsidR="004A6E8F" w:rsidRPr="00DC6D14" w:rsidRDefault="004A6E8F" w:rsidP="004A6E8F">
                    <w:pP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DC6D14">
                      <w:rPr>
                        <w:rFonts w:ascii="Arial" w:hAnsi="Arial" w:cs="Arial"/>
                        <w:color w:val="2658A5"/>
                        <w:sz w:val="18"/>
                        <w:szCs w:val="18"/>
                        <w:lang w:val="en-GB"/>
                      </w:rPr>
                      <w:t>Contact: Spokesperson of the CTIA</w:t>
                    </w:r>
                    <w:r w:rsidRPr="00DC6D14">
                      <w:rPr>
                        <w:rFonts w:ascii="Arial" w:hAnsi="Arial" w:cs="Arial"/>
                        <w:color w:val="2658A5"/>
                        <w:sz w:val="18"/>
                        <w:szCs w:val="18"/>
                        <w:lang w:val="en-GB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color w:val="2658A5"/>
        <w:sz w:val="18"/>
        <w:szCs w:val="18"/>
      </w:rPr>
      <w:tab/>
    </w:r>
  </w:p>
  <w:p w14:paraId="2E86EAD4" w14:textId="3BFE5184" w:rsidR="00F34A6A" w:rsidRPr="004A6E8F" w:rsidRDefault="004A6E8F" w:rsidP="004A6E8F">
    <w:pPr>
      <w:pStyle w:val="Zpat"/>
      <w:tabs>
        <w:tab w:val="clear" w:pos="4536"/>
        <w:tab w:val="clear" w:pos="9072"/>
        <w:tab w:val="left" w:pos="828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66C2" w14:textId="77777777" w:rsidR="000C4AFC" w:rsidRDefault="000C4AFC" w:rsidP="00807D68">
      <w:pPr>
        <w:spacing w:after="0" w:line="240" w:lineRule="auto"/>
      </w:pPr>
      <w:r>
        <w:separator/>
      </w:r>
    </w:p>
  </w:footnote>
  <w:footnote w:type="continuationSeparator" w:id="0">
    <w:p w14:paraId="0981BDFF" w14:textId="77777777" w:rsidR="000C4AFC" w:rsidRDefault="000C4AFC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628F9"/>
    <w:multiLevelType w:val="hybridMultilevel"/>
    <w:tmpl w:val="06E00EA2"/>
    <w:lvl w:ilvl="0" w:tplc="3DB819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FFB2F84"/>
    <w:multiLevelType w:val="hybridMultilevel"/>
    <w:tmpl w:val="3FB0C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60F97A61"/>
    <w:multiLevelType w:val="hybridMultilevel"/>
    <w:tmpl w:val="68B8B5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17324"/>
    <w:multiLevelType w:val="hybridMultilevel"/>
    <w:tmpl w:val="06625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120077">
    <w:abstractNumId w:val="0"/>
  </w:num>
  <w:num w:numId="2" w16cid:durableId="404884651">
    <w:abstractNumId w:val="12"/>
  </w:num>
  <w:num w:numId="3" w16cid:durableId="1700278000">
    <w:abstractNumId w:val="4"/>
  </w:num>
  <w:num w:numId="4" w16cid:durableId="555512668">
    <w:abstractNumId w:val="14"/>
  </w:num>
  <w:num w:numId="5" w16cid:durableId="1654142427">
    <w:abstractNumId w:val="15"/>
  </w:num>
  <w:num w:numId="6" w16cid:durableId="1347438036">
    <w:abstractNumId w:val="6"/>
  </w:num>
  <w:num w:numId="7" w16cid:durableId="4023200">
    <w:abstractNumId w:val="5"/>
  </w:num>
  <w:num w:numId="8" w16cid:durableId="1404715548">
    <w:abstractNumId w:val="1"/>
  </w:num>
  <w:num w:numId="9" w16cid:durableId="1386641361">
    <w:abstractNumId w:val="8"/>
  </w:num>
  <w:num w:numId="10" w16cid:durableId="1502161419">
    <w:abstractNumId w:val="2"/>
  </w:num>
  <w:num w:numId="11" w16cid:durableId="494492477">
    <w:abstractNumId w:val="9"/>
  </w:num>
  <w:num w:numId="12" w16cid:durableId="1500458354">
    <w:abstractNumId w:val="13"/>
  </w:num>
  <w:num w:numId="13" w16cid:durableId="2087140736">
    <w:abstractNumId w:val="11"/>
  </w:num>
  <w:num w:numId="14" w16cid:durableId="541867745">
    <w:abstractNumId w:val="3"/>
  </w:num>
  <w:num w:numId="15" w16cid:durableId="624166874">
    <w:abstractNumId w:val="7"/>
  </w:num>
  <w:num w:numId="16" w16cid:durableId="39473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3292"/>
    <w:rsid w:val="00007B29"/>
    <w:rsid w:val="00025AC8"/>
    <w:rsid w:val="0002753A"/>
    <w:rsid w:val="00027DC7"/>
    <w:rsid w:val="00044B97"/>
    <w:rsid w:val="00045AD0"/>
    <w:rsid w:val="0005151E"/>
    <w:rsid w:val="00056E6A"/>
    <w:rsid w:val="000741E3"/>
    <w:rsid w:val="0009131D"/>
    <w:rsid w:val="0009503C"/>
    <w:rsid w:val="000A707E"/>
    <w:rsid w:val="000B3C18"/>
    <w:rsid w:val="000B3ECB"/>
    <w:rsid w:val="000B5C1C"/>
    <w:rsid w:val="000B78AC"/>
    <w:rsid w:val="000C4AFC"/>
    <w:rsid w:val="000E2C64"/>
    <w:rsid w:val="0010721B"/>
    <w:rsid w:val="00126CD4"/>
    <w:rsid w:val="00142850"/>
    <w:rsid w:val="00143E7B"/>
    <w:rsid w:val="00144510"/>
    <w:rsid w:val="001472E1"/>
    <w:rsid w:val="00151D8D"/>
    <w:rsid w:val="00152827"/>
    <w:rsid w:val="00156C3F"/>
    <w:rsid w:val="00162432"/>
    <w:rsid w:val="00166F6D"/>
    <w:rsid w:val="00167F18"/>
    <w:rsid w:val="00173F4D"/>
    <w:rsid w:val="00175775"/>
    <w:rsid w:val="001924C7"/>
    <w:rsid w:val="00192BDE"/>
    <w:rsid w:val="001A470D"/>
    <w:rsid w:val="001C26F7"/>
    <w:rsid w:val="001C38DE"/>
    <w:rsid w:val="001D0E07"/>
    <w:rsid w:val="001D158E"/>
    <w:rsid w:val="001D5235"/>
    <w:rsid w:val="001E4127"/>
    <w:rsid w:val="001E6858"/>
    <w:rsid w:val="001E6864"/>
    <w:rsid w:val="001F4903"/>
    <w:rsid w:val="002008FE"/>
    <w:rsid w:val="002012CC"/>
    <w:rsid w:val="0021635D"/>
    <w:rsid w:val="00225F02"/>
    <w:rsid w:val="0026408B"/>
    <w:rsid w:val="002726E7"/>
    <w:rsid w:val="00273118"/>
    <w:rsid w:val="0027431F"/>
    <w:rsid w:val="0028654E"/>
    <w:rsid w:val="0028740E"/>
    <w:rsid w:val="002B7C92"/>
    <w:rsid w:val="002C050A"/>
    <w:rsid w:val="002C2749"/>
    <w:rsid w:val="002D7E3D"/>
    <w:rsid w:val="002E36CF"/>
    <w:rsid w:val="002E494C"/>
    <w:rsid w:val="002F20E5"/>
    <w:rsid w:val="00314DCA"/>
    <w:rsid w:val="00320321"/>
    <w:rsid w:val="003316B0"/>
    <w:rsid w:val="00331CA6"/>
    <w:rsid w:val="00332038"/>
    <w:rsid w:val="00347084"/>
    <w:rsid w:val="00350179"/>
    <w:rsid w:val="00351811"/>
    <w:rsid w:val="00351DAF"/>
    <w:rsid w:val="00361995"/>
    <w:rsid w:val="00363379"/>
    <w:rsid w:val="00373649"/>
    <w:rsid w:val="0037728A"/>
    <w:rsid w:val="003833D4"/>
    <w:rsid w:val="003C7C0A"/>
    <w:rsid w:val="003E12DF"/>
    <w:rsid w:val="003E22E2"/>
    <w:rsid w:val="003E3B85"/>
    <w:rsid w:val="003F2528"/>
    <w:rsid w:val="004049A5"/>
    <w:rsid w:val="00412BFC"/>
    <w:rsid w:val="00432A70"/>
    <w:rsid w:val="0043419B"/>
    <w:rsid w:val="00455C0D"/>
    <w:rsid w:val="0046373B"/>
    <w:rsid w:val="00493D8C"/>
    <w:rsid w:val="00494584"/>
    <w:rsid w:val="00494ACB"/>
    <w:rsid w:val="00495788"/>
    <w:rsid w:val="0049637D"/>
    <w:rsid w:val="004A6E8F"/>
    <w:rsid w:val="004B779B"/>
    <w:rsid w:val="004D1873"/>
    <w:rsid w:val="004F3AA9"/>
    <w:rsid w:val="004F5D1D"/>
    <w:rsid w:val="005223C8"/>
    <w:rsid w:val="00526090"/>
    <w:rsid w:val="0052640B"/>
    <w:rsid w:val="0052640F"/>
    <w:rsid w:val="00541FB6"/>
    <w:rsid w:val="0054330A"/>
    <w:rsid w:val="00543844"/>
    <w:rsid w:val="005545CE"/>
    <w:rsid w:val="005702A5"/>
    <w:rsid w:val="00572CFD"/>
    <w:rsid w:val="00574953"/>
    <w:rsid w:val="00577B57"/>
    <w:rsid w:val="00583206"/>
    <w:rsid w:val="005837B9"/>
    <w:rsid w:val="0059117C"/>
    <w:rsid w:val="005923C5"/>
    <w:rsid w:val="00592C1D"/>
    <w:rsid w:val="005A0FA4"/>
    <w:rsid w:val="005A2DEE"/>
    <w:rsid w:val="005A3A49"/>
    <w:rsid w:val="005B2A55"/>
    <w:rsid w:val="005B408C"/>
    <w:rsid w:val="005C435F"/>
    <w:rsid w:val="005D0830"/>
    <w:rsid w:val="005D105B"/>
    <w:rsid w:val="005D1AF4"/>
    <w:rsid w:val="005E3D23"/>
    <w:rsid w:val="005E3D51"/>
    <w:rsid w:val="005F0256"/>
    <w:rsid w:val="005F2E97"/>
    <w:rsid w:val="005F540D"/>
    <w:rsid w:val="005F776A"/>
    <w:rsid w:val="005F7F53"/>
    <w:rsid w:val="00600999"/>
    <w:rsid w:val="00601B8E"/>
    <w:rsid w:val="0060731F"/>
    <w:rsid w:val="0061127C"/>
    <w:rsid w:val="00614EBB"/>
    <w:rsid w:val="006178F5"/>
    <w:rsid w:val="006266FB"/>
    <w:rsid w:val="0062723D"/>
    <w:rsid w:val="0064106F"/>
    <w:rsid w:val="00653A86"/>
    <w:rsid w:val="00656822"/>
    <w:rsid w:val="006620E7"/>
    <w:rsid w:val="00663C7B"/>
    <w:rsid w:val="00664F4F"/>
    <w:rsid w:val="0066747A"/>
    <w:rsid w:val="00670133"/>
    <w:rsid w:val="00680E41"/>
    <w:rsid w:val="00681DA5"/>
    <w:rsid w:val="006B49BE"/>
    <w:rsid w:val="006C41C3"/>
    <w:rsid w:val="006C528F"/>
    <w:rsid w:val="006D428D"/>
    <w:rsid w:val="006E3BFD"/>
    <w:rsid w:val="006F6413"/>
    <w:rsid w:val="0070124B"/>
    <w:rsid w:val="007130DE"/>
    <w:rsid w:val="00730C87"/>
    <w:rsid w:val="0073117A"/>
    <w:rsid w:val="00735C36"/>
    <w:rsid w:val="00741486"/>
    <w:rsid w:val="0074340E"/>
    <w:rsid w:val="00751AA2"/>
    <w:rsid w:val="00752488"/>
    <w:rsid w:val="0075374E"/>
    <w:rsid w:val="007659B8"/>
    <w:rsid w:val="00771930"/>
    <w:rsid w:val="0077642A"/>
    <w:rsid w:val="00787B23"/>
    <w:rsid w:val="007C3195"/>
    <w:rsid w:val="007C40CF"/>
    <w:rsid w:val="007D088B"/>
    <w:rsid w:val="007E237F"/>
    <w:rsid w:val="007E4F0B"/>
    <w:rsid w:val="00803251"/>
    <w:rsid w:val="008078D2"/>
    <w:rsid w:val="00807D68"/>
    <w:rsid w:val="0081160A"/>
    <w:rsid w:val="00820008"/>
    <w:rsid w:val="00820628"/>
    <w:rsid w:val="0084569F"/>
    <w:rsid w:val="00862CB6"/>
    <w:rsid w:val="008632A4"/>
    <w:rsid w:val="00867DDD"/>
    <w:rsid w:val="00867FE0"/>
    <w:rsid w:val="008764A5"/>
    <w:rsid w:val="00885497"/>
    <w:rsid w:val="00890135"/>
    <w:rsid w:val="0089254F"/>
    <w:rsid w:val="008A6022"/>
    <w:rsid w:val="008D0EB8"/>
    <w:rsid w:val="008D6E1D"/>
    <w:rsid w:val="008E7095"/>
    <w:rsid w:val="008F22C0"/>
    <w:rsid w:val="008F7886"/>
    <w:rsid w:val="00902B4C"/>
    <w:rsid w:val="0090767D"/>
    <w:rsid w:val="00917CF5"/>
    <w:rsid w:val="00922364"/>
    <w:rsid w:val="0092339C"/>
    <w:rsid w:val="009266E9"/>
    <w:rsid w:val="009418B2"/>
    <w:rsid w:val="00946C62"/>
    <w:rsid w:val="00955DA0"/>
    <w:rsid w:val="00963E3E"/>
    <w:rsid w:val="0097002E"/>
    <w:rsid w:val="009709A2"/>
    <w:rsid w:val="00970F06"/>
    <w:rsid w:val="00971704"/>
    <w:rsid w:val="00972523"/>
    <w:rsid w:val="0098033A"/>
    <w:rsid w:val="009856C8"/>
    <w:rsid w:val="00987BA8"/>
    <w:rsid w:val="00994318"/>
    <w:rsid w:val="00995A51"/>
    <w:rsid w:val="009A419B"/>
    <w:rsid w:val="009A7490"/>
    <w:rsid w:val="009C1656"/>
    <w:rsid w:val="009C191D"/>
    <w:rsid w:val="009C6AFE"/>
    <w:rsid w:val="009D7643"/>
    <w:rsid w:val="009E2C4F"/>
    <w:rsid w:val="009E32D6"/>
    <w:rsid w:val="009F2D9C"/>
    <w:rsid w:val="009F4279"/>
    <w:rsid w:val="00A04DA8"/>
    <w:rsid w:val="00A13513"/>
    <w:rsid w:val="00A1413F"/>
    <w:rsid w:val="00A14E7B"/>
    <w:rsid w:val="00A161BD"/>
    <w:rsid w:val="00A165D6"/>
    <w:rsid w:val="00A35387"/>
    <w:rsid w:val="00A36B0E"/>
    <w:rsid w:val="00A51854"/>
    <w:rsid w:val="00A54485"/>
    <w:rsid w:val="00A57931"/>
    <w:rsid w:val="00A64DC1"/>
    <w:rsid w:val="00A66848"/>
    <w:rsid w:val="00A81783"/>
    <w:rsid w:val="00A81871"/>
    <w:rsid w:val="00A93B4E"/>
    <w:rsid w:val="00A95A44"/>
    <w:rsid w:val="00AA2B5F"/>
    <w:rsid w:val="00AB2A97"/>
    <w:rsid w:val="00AD2EE9"/>
    <w:rsid w:val="00AE031B"/>
    <w:rsid w:val="00AF5C19"/>
    <w:rsid w:val="00AF6C9F"/>
    <w:rsid w:val="00B0403D"/>
    <w:rsid w:val="00B04C40"/>
    <w:rsid w:val="00B05C63"/>
    <w:rsid w:val="00B06284"/>
    <w:rsid w:val="00B1483A"/>
    <w:rsid w:val="00B205BA"/>
    <w:rsid w:val="00B20F24"/>
    <w:rsid w:val="00B35984"/>
    <w:rsid w:val="00B37AAB"/>
    <w:rsid w:val="00B40171"/>
    <w:rsid w:val="00B44F4B"/>
    <w:rsid w:val="00B473BD"/>
    <w:rsid w:val="00B553B1"/>
    <w:rsid w:val="00B65EBA"/>
    <w:rsid w:val="00B94916"/>
    <w:rsid w:val="00B97A9C"/>
    <w:rsid w:val="00BA1045"/>
    <w:rsid w:val="00BD02A1"/>
    <w:rsid w:val="00BE29F2"/>
    <w:rsid w:val="00BF40BB"/>
    <w:rsid w:val="00BF5CA1"/>
    <w:rsid w:val="00C06823"/>
    <w:rsid w:val="00C21585"/>
    <w:rsid w:val="00C241B4"/>
    <w:rsid w:val="00C41758"/>
    <w:rsid w:val="00C43D14"/>
    <w:rsid w:val="00C4704F"/>
    <w:rsid w:val="00C70F51"/>
    <w:rsid w:val="00C72655"/>
    <w:rsid w:val="00C85899"/>
    <w:rsid w:val="00C92240"/>
    <w:rsid w:val="00C937E8"/>
    <w:rsid w:val="00C9701C"/>
    <w:rsid w:val="00C97D46"/>
    <w:rsid w:val="00CB0474"/>
    <w:rsid w:val="00CC157E"/>
    <w:rsid w:val="00CC64D7"/>
    <w:rsid w:val="00CD11D7"/>
    <w:rsid w:val="00CD1207"/>
    <w:rsid w:val="00CE40CA"/>
    <w:rsid w:val="00CE7269"/>
    <w:rsid w:val="00CF6F01"/>
    <w:rsid w:val="00D00046"/>
    <w:rsid w:val="00D100A7"/>
    <w:rsid w:val="00D16725"/>
    <w:rsid w:val="00D2107A"/>
    <w:rsid w:val="00D230ED"/>
    <w:rsid w:val="00D25869"/>
    <w:rsid w:val="00D329DD"/>
    <w:rsid w:val="00D33380"/>
    <w:rsid w:val="00D475FF"/>
    <w:rsid w:val="00D5365A"/>
    <w:rsid w:val="00D54C32"/>
    <w:rsid w:val="00D66CD2"/>
    <w:rsid w:val="00D763A0"/>
    <w:rsid w:val="00D77B99"/>
    <w:rsid w:val="00D806B7"/>
    <w:rsid w:val="00D82F55"/>
    <w:rsid w:val="00D8316C"/>
    <w:rsid w:val="00D86DDA"/>
    <w:rsid w:val="00D87F3A"/>
    <w:rsid w:val="00D966A5"/>
    <w:rsid w:val="00D97A67"/>
    <w:rsid w:val="00DA113C"/>
    <w:rsid w:val="00DA2759"/>
    <w:rsid w:val="00DA69AB"/>
    <w:rsid w:val="00DB2730"/>
    <w:rsid w:val="00DC5B7E"/>
    <w:rsid w:val="00DC7896"/>
    <w:rsid w:val="00DD7EAD"/>
    <w:rsid w:val="00DE3FE8"/>
    <w:rsid w:val="00DE7BD1"/>
    <w:rsid w:val="00DF4E85"/>
    <w:rsid w:val="00E01D17"/>
    <w:rsid w:val="00E17BF0"/>
    <w:rsid w:val="00E23AD4"/>
    <w:rsid w:val="00E27FB5"/>
    <w:rsid w:val="00E32347"/>
    <w:rsid w:val="00E47FAA"/>
    <w:rsid w:val="00E53779"/>
    <w:rsid w:val="00E561BC"/>
    <w:rsid w:val="00E56869"/>
    <w:rsid w:val="00E64BC8"/>
    <w:rsid w:val="00E756D1"/>
    <w:rsid w:val="00E90D9C"/>
    <w:rsid w:val="00E95609"/>
    <w:rsid w:val="00EA1C2C"/>
    <w:rsid w:val="00EA1D75"/>
    <w:rsid w:val="00EA39B4"/>
    <w:rsid w:val="00EB6C69"/>
    <w:rsid w:val="00EC4680"/>
    <w:rsid w:val="00ED4CDF"/>
    <w:rsid w:val="00EF3E1F"/>
    <w:rsid w:val="00EF4241"/>
    <w:rsid w:val="00EF59B9"/>
    <w:rsid w:val="00F168AF"/>
    <w:rsid w:val="00F2566E"/>
    <w:rsid w:val="00F34A6A"/>
    <w:rsid w:val="00F4039A"/>
    <w:rsid w:val="00F44180"/>
    <w:rsid w:val="00F447E7"/>
    <w:rsid w:val="00F45888"/>
    <w:rsid w:val="00F4644A"/>
    <w:rsid w:val="00F50FE8"/>
    <w:rsid w:val="00F51690"/>
    <w:rsid w:val="00F53C17"/>
    <w:rsid w:val="00F55D33"/>
    <w:rsid w:val="00F7008A"/>
    <w:rsid w:val="00F70689"/>
    <w:rsid w:val="00F70880"/>
    <w:rsid w:val="00FA4411"/>
    <w:rsid w:val="00FA76BC"/>
    <w:rsid w:val="00FB39B8"/>
    <w:rsid w:val="00FB4861"/>
    <w:rsid w:val="00FB4E91"/>
    <w:rsid w:val="00FB65AE"/>
    <w:rsid w:val="00FC7607"/>
    <w:rsid w:val="00FD0861"/>
    <w:rsid w:val="00F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unhideWhenUsed/>
    <w:rsid w:val="00FD185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185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A4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1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1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19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C4680"/>
    <w:rPr>
      <w:b/>
      <w:bCs/>
    </w:rPr>
  </w:style>
  <w:style w:type="character" w:customStyle="1" w:styleId="relative">
    <w:name w:val="relative"/>
    <w:basedOn w:val="Standardnpsmoodstavce"/>
    <w:rsid w:val="00EC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Tichota Ondřej, Mgr., DiS.</cp:lastModifiedBy>
  <cp:revision>10</cp:revision>
  <cp:lastPrinted>2025-04-03T06:56:00Z</cp:lastPrinted>
  <dcterms:created xsi:type="dcterms:W3CDTF">2026-03-20T14:00:00Z</dcterms:created>
  <dcterms:modified xsi:type="dcterms:W3CDTF">2026-09-09T15:33:00Z</dcterms:modified>
</cp:coreProperties>
</file>