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19AE5" w14:textId="77777777" w:rsidR="009221BD" w:rsidRPr="00252EB5" w:rsidRDefault="009221BD" w:rsidP="009221BD">
      <w:pPr>
        <w:spacing w:before="240"/>
        <w:jc w:val="right"/>
        <w:rPr>
          <w:rFonts w:ascii="Arial" w:hAnsi="Arial" w:cs="Arial"/>
          <w:color w:val="2658A5"/>
          <w:sz w:val="48"/>
          <w:szCs w:val="48"/>
          <w:lang w:val="en-GB"/>
        </w:rPr>
      </w:pPr>
      <w:r w:rsidRPr="00252EB5">
        <w:rPr>
          <w:rFonts w:ascii="Arial" w:eastAsia="Calibri" w:hAnsi="Arial" w:cs="Arial"/>
          <w:b/>
          <w:bCs/>
          <w:sz w:val="20"/>
          <w:szCs w:val="20"/>
          <w:lang w:val="en-GB"/>
        </w:rPr>
        <w:drawing>
          <wp:anchor distT="0" distB="0" distL="114300" distR="114300" simplePos="0" relativeHeight="251659264" behindDoc="0" locked="0" layoutInCell="1" allowOverlap="1" wp14:anchorId="37401BAF" wp14:editId="3172CFE8">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EB5">
        <w:rPr>
          <w:rFonts w:ascii="Arial" w:hAnsi="Arial" w:cs="Arial"/>
          <w:color w:val="2658A5"/>
          <w:sz w:val="48"/>
          <w:szCs w:val="48"/>
          <w:lang w:val="en-GB"/>
        </w:rPr>
        <w:t>PRESS RELEASE</w:t>
      </w:r>
    </w:p>
    <w:p w14:paraId="50464330" w14:textId="77777777" w:rsidR="001F6D90" w:rsidRPr="00252EB5" w:rsidRDefault="001F6D90" w:rsidP="001F6D90">
      <w:pPr>
        <w:spacing w:before="240"/>
        <w:rPr>
          <w:rFonts w:ascii="Montserrat" w:hAnsi="Montserrat"/>
          <w:b/>
          <w:bCs/>
          <w:color w:val="2658A5"/>
          <w:sz w:val="32"/>
          <w:szCs w:val="32"/>
          <w:lang w:val="en-GB"/>
        </w:rPr>
      </w:pPr>
    </w:p>
    <w:p w14:paraId="1298DE67" w14:textId="35191AA4" w:rsidR="00252EB5" w:rsidRPr="00252EB5" w:rsidRDefault="00252EB5" w:rsidP="00252EB5">
      <w:pPr>
        <w:spacing w:line="240" w:lineRule="auto"/>
        <w:jc w:val="both"/>
        <w:rPr>
          <w:rFonts w:ascii="Arial" w:hAnsi="Arial" w:cs="Arial"/>
          <w:b/>
          <w:bCs/>
          <w:color w:val="2658A5"/>
          <w:sz w:val="32"/>
          <w:szCs w:val="32"/>
          <w:lang w:val="en-GB"/>
        </w:rPr>
      </w:pPr>
      <w:r w:rsidRPr="00252EB5">
        <w:rPr>
          <w:rFonts w:ascii="Arial" w:hAnsi="Arial" w:cs="Arial"/>
          <w:b/>
          <w:bCs/>
          <w:color w:val="2658A5"/>
          <w:sz w:val="32"/>
          <w:szCs w:val="32"/>
          <w:lang w:val="en-GB"/>
        </w:rPr>
        <w:t>In 2025, the Czech Trade Inspection Authority identified a total of</w:t>
      </w:r>
      <w:r w:rsidRPr="00252EB5">
        <w:rPr>
          <w:rFonts w:ascii="Arial" w:hAnsi="Arial" w:cs="Arial"/>
          <w:b/>
          <w:bCs/>
          <w:color w:val="2658A5"/>
          <w:sz w:val="32"/>
          <w:szCs w:val="32"/>
          <w:lang w:val="en-GB"/>
        </w:rPr>
        <w:t xml:space="preserve"> </w:t>
      </w:r>
      <w:r w:rsidRPr="00252EB5">
        <w:rPr>
          <w:rFonts w:ascii="Arial" w:hAnsi="Arial" w:cs="Arial"/>
          <w:b/>
          <w:bCs/>
          <w:color w:val="2658A5"/>
          <w:sz w:val="32"/>
          <w:szCs w:val="32"/>
          <w:lang w:val="en-GB"/>
        </w:rPr>
        <w:t>11 cases of consumer discrimination</w:t>
      </w:r>
    </w:p>
    <w:p w14:paraId="0D98D87B"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(Prague, May 5, 2026) </w:t>
      </w:r>
      <w:r w:rsidRPr="00252EB5">
        <w:rPr>
          <w:rFonts w:ascii="Arial" w:eastAsia="Calibri" w:hAnsi="Arial" w:cs="Arial"/>
          <w:b/>
          <w:bCs/>
          <w:sz w:val="20"/>
          <w:szCs w:val="20"/>
          <w:lang w:val="en-GB"/>
        </w:rPr>
        <w:t>Over the past year, the Czech Trade Inspection Authority inspected whether traders discriminated against consumers. It conducted a total of 106 inspections, of which 49 revealed breaches of legal regulations, and in 11 cases, there was a suspicion of some form of discriminatory conduct.</w:t>
      </w:r>
    </w:p>
    <w:p w14:paraId="3BB5AFF7"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From January 2 to December 31, 2025, the CTIA carried out an inspection activity focused on compliance with Section 6 of Act No. 634/1992 Coll., on Consumer Protection, to determine whether sellers discriminate against consumers. The action also included inspection sellers’ compliance with other obligations arising from legal regulations falling under the CTIA’s supervisory authority. </w:t>
      </w:r>
    </w:p>
    <w:p w14:paraId="442C62EF"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b/>
          <w:bCs/>
          <w:sz w:val="20"/>
          <w:szCs w:val="20"/>
          <w:lang w:val="en-GB"/>
        </w:rPr>
        <w:t>A total of 106 inspections were carried out, of which 49 revealed breaches of legal regulations (46.23%). Suspected breaches of Section 6</w:t>
      </w:r>
      <w:r w:rsidRPr="00252EB5">
        <w:rPr>
          <w:rFonts w:ascii="Arial" w:eastAsia="Calibri" w:hAnsi="Arial" w:cs="Arial"/>
          <w:sz w:val="20"/>
          <w:szCs w:val="20"/>
          <w:lang w:val="en-GB"/>
        </w:rPr>
        <w:t xml:space="preserve">, which prohibits sellers from discriminating against consumers in the sale of products or the provision of services (prohibiting less favourable treatment in comparable situations of different persons based on their race, ethnic origin, nationality, gender, sexual orientation, age, disability, faith, religious belief, or worldview, or for any other reason), </w:t>
      </w:r>
      <w:r w:rsidRPr="00252EB5">
        <w:rPr>
          <w:rFonts w:ascii="Arial" w:eastAsia="Calibri" w:hAnsi="Arial" w:cs="Arial"/>
          <w:b/>
          <w:bCs/>
          <w:sz w:val="20"/>
          <w:szCs w:val="20"/>
          <w:lang w:val="en-GB"/>
        </w:rPr>
        <w:t>was identified by inspectors in 11 cases (10.38%).</w:t>
      </w:r>
    </w:p>
    <w:p w14:paraId="75DC3A3F"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In 3 cases, suspected discrimination was identified, based on restricting access to services or products due to the consumer’s age. In 2 cases, the suspected discrimination involved persons with disabilities, consisting of refusing to allow a person accompanied by a service dog into a business premises or refusing to allow the purchase of groceries.</w:t>
      </w:r>
    </w:p>
    <w:p w14:paraId="1CB37169"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In 3 cases, unjustified less favourable treatment of persons of a different nationality was identified, consisting of a different pricing policy when offering products and services; and in 1 case, a statement on social media denied persons of non-Czech nationality access to the services offered.</w:t>
      </w:r>
    </w:p>
    <w:p w14:paraId="2B1279A0"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In two cases, multiple forms of discriminatory conduct were suspected. One case involved restrictions on access to apartment rentals based on age, social status, gender (or parenthood), and other circumstances. The second case involved—as announced on social media—restrictions on access to services based on ethnic origin, religion, faith, or political beliefs. </w:t>
      </w:r>
    </w:p>
    <w:p w14:paraId="7ED0B69A"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In addition to inspections focused on discrimination, the inspection activity also included verification of compliance with other obligations arising from the Act on Consumer Protection and other legal regulations.</w:t>
      </w:r>
    </w:p>
    <w:p w14:paraId="27FA3D17"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Most frequently, </w:t>
      </w:r>
      <w:r w:rsidRPr="00252EB5">
        <w:rPr>
          <w:rFonts w:ascii="Arial" w:eastAsia="Calibri" w:hAnsi="Arial" w:cs="Arial"/>
          <w:b/>
          <w:bCs/>
          <w:sz w:val="20"/>
          <w:szCs w:val="20"/>
          <w:lang w:val="en-GB"/>
        </w:rPr>
        <w:t>in 20 cases, an infringement of Section 12 was identified</w:t>
      </w:r>
      <w:r w:rsidRPr="00252EB5">
        <w:rPr>
          <w:rFonts w:ascii="Arial" w:eastAsia="Calibri" w:hAnsi="Arial" w:cs="Arial"/>
          <w:sz w:val="20"/>
          <w:szCs w:val="20"/>
          <w:lang w:val="en-GB"/>
        </w:rPr>
        <w:t xml:space="preserve">, where sellers failed to inform consumers of the prices of the products offered or services provided in accordance with pricing regulations; furthermore, </w:t>
      </w:r>
      <w:r w:rsidRPr="00252EB5">
        <w:rPr>
          <w:rFonts w:ascii="Arial" w:eastAsia="Calibri" w:hAnsi="Arial" w:cs="Arial"/>
          <w:b/>
          <w:bCs/>
          <w:sz w:val="20"/>
          <w:szCs w:val="20"/>
          <w:lang w:val="en-GB"/>
        </w:rPr>
        <w:t>in 13 cases, an infringement of Section 4(4) was identified</w:t>
      </w:r>
      <w:r w:rsidRPr="00252EB5">
        <w:rPr>
          <w:rFonts w:ascii="Arial" w:eastAsia="Calibri" w:hAnsi="Arial" w:cs="Arial"/>
          <w:sz w:val="20"/>
          <w:szCs w:val="20"/>
          <w:lang w:val="en-GB"/>
        </w:rPr>
        <w:t xml:space="preserve">, as the inspected entities violated the prohibition on the use of unfair commercial practices, and </w:t>
      </w:r>
      <w:r w:rsidRPr="00252EB5">
        <w:rPr>
          <w:rFonts w:ascii="Arial" w:eastAsia="Calibri" w:hAnsi="Arial" w:cs="Arial"/>
          <w:b/>
          <w:bCs/>
          <w:sz w:val="20"/>
          <w:szCs w:val="20"/>
          <w:lang w:val="en-GB"/>
        </w:rPr>
        <w:t>in 11 cases,</w:t>
      </w:r>
      <w:r w:rsidRPr="00252EB5">
        <w:rPr>
          <w:rFonts w:ascii="Arial" w:eastAsia="Calibri" w:hAnsi="Arial" w:cs="Arial"/>
          <w:sz w:val="20"/>
          <w:szCs w:val="20"/>
          <w:lang w:val="en-GB"/>
        </w:rPr>
        <w:t xml:space="preserve"> </w:t>
      </w:r>
      <w:r w:rsidRPr="00252EB5">
        <w:rPr>
          <w:rFonts w:ascii="Arial" w:eastAsia="Calibri" w:hAnsi="Arial" w:cs="Arial"/>
          <w:b/>
          <w:bCs/>
          <w:sz w:val="20"/>
          <w:szCs w:val="20"/>
          <w:lang w:val="en-GB"/>
        </w:rPr>
        <w:t>shortcomings were identified in compliance with the principles of fair selling</w:t>
      </w:r>
      <w:r w:rsidRPr="00252EB5">
        <w:rPr>
          <w:rFonts w:ascii="Arial" w:eastAsia="Calibri" w:hAnsi="Arial" w:cs="Arial"/>
          <w:sz w:val="20"/>
          <w:szCs w:val="20"/>
          <w:lang w:val="en-GB"/>
        </w:rPr>
        <w:t xml:space="preserve"> within the meaning of </w:t>
      </w:r>
      <w:r w:rsidRPr="00252EB5">
        <w:rPr>
          <w:rFonts w:ascii="Arial" w:eastAsia="Calibri" w:hAnsi="Arial" w:cs="Arial"/>
          <w:b/>
          <w:bCs/>
          <w:sz w:val="20"/>
          <w:szCs w:val="20"/>
          <w:lang w:val="en-GB"/>
        </w:rPr>
        <w:t>Section 3.</w:t>
      </w:r>
      <w:r w:rsidRPr="00252EB5">
        <w:rPr>
          <w:rFonts w:ascii="Arial" w:eastAsia="Calibri" w:hAnsi="Arial" w:cs="Arial"/>
          <w:sz w:val="20"/>
          <w:szCs w:val="20"/>
          <w:lang w:val="en-GB"/>
        </w:rPr>
        <w:t xml:space="preserve"> Breaches of other provisions of the Act on Consumer Protection and other legal regulations falling under the CTIA’s surveillance scope were identified to a lesser extent.</w:t>
      </w:r>
    </w:p>
    <w:p w14:paraId="46065AAB"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Based on the identified breaches of legal regulations within the CTIA’s surveillance scope, </w:t>
      </w:r>
      <w:r w:rsidRPr="00252EB5">
        <w:rPr>
          <w:rFonts w:ascii="Arial" w:eastAsia="Calibri" w:hAnsi="Arial" w:cs="Arial"/>
          <w:b/>
          <w:bCs/>
          <w:sz w:val="20"/>
          <w:szCs w:val="20"/>
          <w:lang w:val="en-GB"/>
        </w:rPr>
        <w:t xml:space="preserve">42 fines </w:t>
      </w:r>
      <w:proofErr w:type="spellStart"/>
      <w:r w:rsidRPr="00252EB5">
        <w:rPr>
          <w:rFonts w:ascii="Arial" w:eastAsia="Calibri" w:hAnsi="Arial" w:cs="Arial"/>
          <w:b/>
          <w:bCs/>
          <w:sz w:val="20"/>
          <w:szCs w:val="20"/>
          <w:lang w:val="en-GB"/>
        </w:rPr>
        <w:t>totaling</w:t>
      </w:r>
      <w:proofErr w:type="spellEnd"/>
      <w:r w:rsidRPr="00252EB5">
        <w:rPr>
          <w:rFonts w:ascii="Arial" w:eastAsia="Calibri" w:hAnsi="Arial" w:cs="Arial"/>
          <w:b/>
          <w:bCs/>
          <w:sz w:val="20"/>
          <w:szCs w:val="20"/>
          <w:lang w:val="en-GB"/>
        </w:rPr>
        <w:t xml:space="preserve"> 520,000 CZK became final during the period in question. In connection with proven discriminatory conduct, 11 fines </w:t>
      </w:r>
      <w:proofErr w:type="spellStart"/>
      <w:r w:rsidRPr="00252EB5">
        <w:rPr>
          <w:rFonts w:ascii="Arial" w:eastAsia="Calibri" w:hAnsi="Arial" w:cs="Arial"/>
          <w:b/>
          <w:bCs/>
          <w:sz w:val="20"/>
          <w:szCs w:val="20"/>
          <w:lang w:val="en-GB"/>
        </w:rPr>
        <w:t>totaling</w:t>
      </w:r>
      <w:proofErr w:type="spellEnd"/>
      <w:r w:rsidRPr="00252EB5">
        <w:rPr>
          <w:rFonts w:ascii="Arial" w:eastAsia="Calibri" w:hAnsi="Arial" w:cs="Arial"/>
          <w:b/>
          <w:bCs/>
          <w:sz w:val="20"/>
          <w:szCs w:val="20"/>
          <w:lang w:val="en-GB"/>
        </w:rPr>
        <w:t xml:space="preserve"> 388,000 CZK became final</w:t>
      </w:r>
      <w:r w:rsidRPr="00252EB5">
        <w:rPr>
          <w:rFonts w:ascii="Arial" w:eastAsia="Calibri" w:hAnsi="Arial" w:cs="Arial"/>
          <w:sz w:val="20"/>
          <w:szCs w:val="20"/>
          <w:lang w:val="en-GB"/>
        </w:rPr>
        <w:t>. Of this total, 2 fines related to inspections initiated in 2023, 4 fines related to inspections initiated in 2024, and 5 fines related to inspections initiated in 2025.</w:t>
      </w:r>
    </w:p>
    <w:p w14:paraId="7CD13E9D" w14:textId="77777777" w:rsidR="00252EB5" w:rsidRPr="00252EB5" w:rsidRDefault="00252EB5" w:rsidP="00252EB5">
      <w:pPr>
        <w:spacing w:line="240" w:lineRule="auto"/>
        <w:jc w:val="both"/>
        <w:rPr>
          <w:rFonts w:ascii="Arial" w:eastAsia="Calibri" w:hAnsi="Arial" w:cs="Arial"/>
          <w:sz w:val="20"/>
          <w:szCs w:val="20"/>
          <w:lang w:val="en-GB"/>
        </w:rPr>
      </w:pPr>
      <w:r w:rsidRPr="00252EB5">
        <w:rPr>
          <w:rFonts w:ascii="Arial" w:eastAsia="Calibri" w:hAnsi="Arial" w:cs="Arial"/>
          <w:sz w:val="20"/>
          <w:szCs w:val="20"/>
          <w:lang w:val="en-GB"/>
        </w:rPr>
        <w:t xml:space="preserve">The Czech Trade Inspection Authority includes inspections focused on any form of discriminatory conduct toward consumers within its regular inspection activities. The results of inspections carried out in 2025 show that the percentage of breaches of Section 6 of the Act on Consumer Protection is </w:t>
      </w:r>
      <w:proofErr w:type="gramStart"/>
      <w:r w:rsidRPr="00252EB5">
        <w:rPr>
          <w:rFonts w:ascii="Arial" w:eastAsia="Calibri" w:hAnsi="Arial" w:cs="Arial"/>
          <w:sz w:val="20"/>
          <w:szCs w:val="20"/>
          <w:lang w:val="en-GB"/>
        </w:rPr>
        <w:t xml:space="preserve">similar </w:t>
      </w:r>
      <w:r w:rsidRPr="00252EB5">
        <w:rPr>
          <w:rFonts w:ascii="Arial" w:eastAsia="Calibri" w:hAnsi="Arial" w:cs="Arial"/>
          <w:sz w:val="20"/>
          <w:szCs w:val="20"/>
          <w:lang w:val="en-GB"/>
        </w:rPr>
        <w:lastRenderedPageBreak/>
        <w:t>to</w:t>
      </w:r>
      <w:proofErr w:type="gramEnd"/>
      <w:r w:rsidRPr="00252EB5">
        <w:rPr>
          <w:rFonts w:ascii="Arial" w:eastAsia="Calibri" w:hAnsi="Arial" w:cs="Arial"/>
          <w:sz w:val="20"/>
          <w:szCs w:val="20"/>
          <w:lang w:val="en-GB"/>
        </w:rPr>
        <w:t xml:space="preserve"> that of the previous period (specifically, an increase of 3.06% compared to 2024). Given the serious impact on consumers, the CTIA is continuing to devote due attention to this issue this year as well.</w:t>
      </w:r>
    </w:p>
    <w:p w14:paraId="7F371EA2" w14:textId="09F08C12" w:rsidR="001F6D90" w:rsidRPr="00252EB5" w:rsidRDefault="001F6D90" w:rsidP="001F6D90">
      <w:pPr>
        <w:spacing w:line="240" w:lineRule="auto"/>
        <w:jc w:val="both"/>
        <w:rPr>
          <w:rFonts w:ascii="Arial" w:hAnsi="Arial" w:cs="Arial"/>
          <w:sz w:val="20"/>
          <w:szCs w:val="20"/>
          <w:lang w:val="en-GB"/>
        </w:rPr>
      </w:pPr>
    </w:p>
    <w:sectPr w:rsidR="001F6D90" w:rsidRPr="00252EB5"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3929" w14:textId="77777777" w:rsidR="00051DB9" w:rsidRDefault="00051DB9" w:rsidP="00807D68">
      <w:pPr>
        <w:spacing w:after="0" w:line="240" w:lineRule="auto"/>
      </w:pPr>
      <w:r>
        <w:separator/>
      </w:r>
    </w:p>
  </w:endnote>
  <w:endnote w:type="continuationSeparator" w:id="0">
    <w:p w14:paraId="7203E8FA" w14:textId="77777777" w:rsidR="00051DB9" w:rsidRDefault="00051DB9"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D058" w14:textId="77777777" w:rsidR="00CB636A" w:rsidRPr="000B3C18" w:rsidRDefault="00CB636A" w:rsidP="00CB636A">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7860EE57" wp14:editId="39A4879A">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59EF22E9" w14:textId="77777777" w:rsidR="00CB636A" w:rsidRPr="007F2BC4" w:rsidRDefault="00CB636A" w:rsidP="00CB636A">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860EE57"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59EF22E9" w14:textId="77777777" w:rsidR="00CB636A" w:rsidRPr="007F2BC4" w:rsidRDefault="00CB636A" w:rsidP="00CB636A">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77F2F808" wp14:editId="3F2249FC">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461B1C63" w14:textId="77777777" w:rsidR="00CB636A" w:rsidRPr="00DC6D14" w:rsidRDefault="00CB636A" w:rsidP="00CB636A">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7F2F808"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461B1C63" w14:textId="77777777" w:rsidR="00CB636A" w:rsidRPr="00DC6D14" w:rsidRDefault="00CB636A" w:rsidP="00CB636A">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29595893" w:rsidR="00F34A6A" w:rsidRPr="00CB636A" w:rsidRDefault="00CB636A" w:rsidP="00CB636A">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3602" w14:textId="77777777" w:rsidR="00051DB9" w:rsidRDefault="00051DB9" w:rsidP="00807D68">
      <w:pPr>
        <w:spacing w:after="0" w:line="240" w:lineRule="auto"/>
      </w:pPr>
      <w:r>
        <w:separator/>
      </w:r>
    </w:p>
  </w:footnote>
  <w:footnote w:type="continuationSeparator" w:id="0">
    <w:p w14:paraId="46F23FC6" w14:textId="77777777" w:rsidR="00051DB9" w:rsidRDefault="00051DB9"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4"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5"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6"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7"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8"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9314503">
    <w:abstractNumId w:val="0"/>
  </w:num>
  <w:num w:numId="2" w16cid:durableId="1394547154">
    <w:abstractNumId w:val="8"/>
  </w:num>
  <w:num w:numId="3" w16cid:durableId="1440682233">
    <w:abstractNumId w:val="3"/>
  </w:num>
  <w:num w:numId="4" w16cid:durableId="736126016">
    <w:abstractNumId w:val="10"/>
  </w:num>
  <w:num w:numId="5" w16cid:durableId="1014914186">
    <w:abstractNumId w:val="11"/>
  </w:num>
  <w:num w:numId="6" w16cid:durableId="1879970252">
    <w:abstractNumId w:val="5"/>
  </w:num>
  <w:num w:numId="7" w16cid:durableId="1442603444">
    <w:abstractNumId w:val="4"/>
  </w:num>
  <w:num w:numId="8" w16cid:durableId="905650607">
    <w:abstractNumId w:val="1"/>
  </w:num>
  <w:num w:numId="9" w16cid:durableId="1049188642">
    <w:abstractNumId w:val="6"/>
  </w:num>
  <w:num w:numId="10" w16cid:durableId="1957520011">
    <w:abstractNumId w:val="2"/>
  </w:num>
  <w:num w:numId="11" w16cid:durableId="1726905583">
    <w:abstractNumId w:val="7"/>
  </w:num>
  <w:num w:numId="12" w16cid:durableId="119300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429D0"/>
    <w:rsid w:val="00050F39"/>
    <w:rsid w:val="00051DB9"/>
    <w:rsid w:val="00051E83"/>
    <w:rsid w:val="00056E6A"/>
    <w:rsid w:val="000741E3"/>
    <w:rsid w:val="000A4456"/>
    <w:rsid w:val="000B3C18"/>
    <w:rsid w:val="000B3ECB"/>
    <w:rsid w:val="000E2C64"/>
    <w:rsid w:val="000E6EDB"/>
    <w:rsid w:val="0010721B"/>
    <w:rsid w:val="0013698F"/>
    <w:rsid w:val="00142850"/>
    <w:rsid w:val="00143E7B"/>
    <w:rsid w:val="001472E1"/>
    <w:rsid w:val="00152827"/>
    <w:rsid w:val="00167F18"/>
    <w:rsid w:val="001821DC"/>
    <w:rsid w:val="00192BDE"/>
    <w:rsid w:val="001A1921"/>
    <w:rsid w:val="001C38DE"/>
    <w:rsid w:val="001D0E07"/>
    <w:rsid w:val="001D158E"/>
    <w:rsid w:val="001D5235"/>
    <w:rsid w:val="001F6D90"/>
    <w:rsid w:val="002012CC"/>
    <w:rsid w:val="00204A76"/>
    <w:rsid w:val="00225F02"/>
    <w:rsid w:val="00233C78"/>
    <w:rsid w:val="00252EB5"/>
    <w:rsid w:val="00261207"/>
    <w:rsid w:val="002726E7"/>
    <w:rsid w:val="0029256D"/>
    <w:rsid w:val="002A74F8"/>
    <w:rsid w:val="002B0C1D"/>
    <w:rsid w:val="002B7C92"/>
    <w:rsid w:val="002C050A"/>
    <w:rsid w:val="002C2700"/>
    <w:rsid w:val="002C2749"/>
    <w:rsid w:val="002C6399"/>
    <w:rsid w:val="002D348E"/>
    <w:rsid w:val="00350179"/>
    <w:rsid w:val="00361995"/>
    <w:rsid w:val="00363379"/>
    <w:rsid w:val="0037728A"/>
    <w:rsid w:val="00392B5B"/>
    <w:rsid w:val="003A0612"/>
    <w:rsid w:val="003B30D7"/>
    <w:rsid w:val="003C2099"/>
    <w:rsid w:val="003E3B85"/>
    <w:rsid w:val="003F2528"/>
    <w:rsid w:val="00427C9C"/>
    <w:rsid w:val="00432A70"/>
    <w:rsid w:val="0043419B"/>
    <w:rsid w:val="004475D3"/>
    <w:rsid w:val="0045133E"/>
    <w:rsid w:val="0046373B"/>
    <w:rsid w:val="004846EF"/>
    <w:rsid w:val="004929C0"/>
    <w:rsid w:val="00493D8C"/>
    <w:rsid w:val="00494ACB"/>
    <w:rsid w:val="0049637D"/>
    <w:rsid w:val="00497FEF"/>
    <w:rsid w:val="004D0CA4"/>
    <w:rsid w:val="004D34EB"/>
    <w:rsid w:val="004E1829"/>
    <w:rsid w:val="004E47C7"/>
    <w:rsid w:val="004F07A5"/>
    <w:rsid w:val="004F3AA9"/>
    <w:rsid w:val="00526090"/>
    <w:rsid w:val="00532EEA"/>
    <w:rsid w:val="005545CE"/>
    <w:rsid w:val="005702A5"/>
    <w:rsid w:val="00570E5D"/>
    <w:rsid w:val="00572CFD"/>
    <w:rsid w:val="00574953"/>
    <w:rsid w:val="00577B57"/>
    <w:rsid w:val="005837B9"/>
    <w:rsid w:val="005923C5"/>
    <w:rsid w:val="00592C1D"/>
    <w:rsid w:val="005935CC"/>
    <w:rsid w:val="005A0FA4"/>
    <w:rsid w:val="005A3A49"/>
    <w:rsid w:val="005B2A55"/>
    <w:rsid w:val="005C435F"/>
    <w:rsid w:val="005D105B"/>
    <w:rsid w:val="005D1C49"/>
    <w:rsid w:val="005E3D23"/>
    <w:rsid w:val="005F776A"/>
    <w:rsid w:val="005F7F53"/>
    <w:rsid w:val="0060731F"/>
    <w:rsid w:val="0061127C"/>
    <w:rsid w:val="00624202"/>
    <w:rsid w:val="00626487"/>
    <w:rsid w:val="00633540"/>
    <w:rsid w:val="006361C4"/>
    <w:rsid w:val="00653A86"/>
    <w:rsid w:val="00656822"/>
    <w:rsid w:val="00663C7B"/>
    <w:rsid w:val="00681DA5"/>
    <w:rsid w:val="006917AF"/>
    <w:rsid w:val="00693AB9"/>
    <w:rsid w:val="006B4399"/>
    <w:rsid w:val="006B49BE"/>
    <w:rsid w:val="006C3E0D"/>
    <w:rsid w:val="006D428D"/>
    <w:rsid w:val="006D4F76"/>
    <w:rsid w:val="006E3BFD"/>
    <w:rsid w:val="006E5A63"/>
    <w:rsid w:val="006F6413"/>
    <w:rsid w:val="0070124B"/>
    <w:rsid w:val="0073117A"/>
    <w:rsid w:val="00734CE3"/>
    <w:rsid w:val="00735C36"/>
    <w:rsid w:val="0073790C"/>
    <w:rsid w:val="00752488"/>
    <w:rsid w:val="0075676E"/>
    <w:rsid w:val="00771930"/>
    <w:rsid w:val="00791491"/>
    <w:rsid w:val="007A03B2"/>
    <w:rsid w:val="007C3195"/>
    <w:rsid w:val="007C40CF"/>
    <w:rsid w:val="007E237F"/>
    <w:rsid w:val="008078D2"/>
    <w:rsid w:val="00807D68"/>
    <w:rsid w:val="008260D0"/>
    <w:rsid w:val="008632A4"/>
    <w:rsid w:val="00885497"/>
    <w:rsid w:val="00890135"/>
    <w:rsid w:val="0089254F"/>
    <w:rsid w:val="00894AC8"/>
    <w:rsid w:val="008C5B15"/>
    <w:rsid w:val="008D48B9"/>
    <w:rsid w:val="008F22C0"/>
    <w:rsid w:val="0090767D"/>
    <w:rsid w:val="00917CF5"/>
    <w:rsid w:val="009221BD"/>
    <w:rsid w:val="0092339C"/>
    <w:rsid w:val="009266E9"/>
    <w:rsid w:val="00955DA0"/>
    <w:rsid w:val="00970F06"/>
    <w:rsid w:val="00971704"/>
    <w:rsid w:val="00972523"/>
    <w:rsid w:val="00980F63"/>
    <w:rsid w:val="00991369"/>
    <w:rsid w:val="009B160E"/>
    <w:rsid w:val="009C191D"/>
    <w:rsid w:val="009D6FE5"/>
    <w:rsid w:val="009E32D6"/>
    <w:rsid w:val="009F22F2"/>
    <w:rsid w:val="009F2D9C"/>
    <w:rsid w:val="00A04DA8"/>
    <w:rsid w:val="00A051B2"/>
    <w:rsid w:val="00A161BD"/>
    <w:rsid w:val="00A32198"/>
    <w:rsid w:val="00A57931"/>
    <w:rsid w:val="00A60121"/>
    <w:rsid w:val="00A66848"/>
    <w:rsid w:val="00A767C3"/>
    <w:rsid w:val="00A81783"/>
    <w:rsid w:val="00A95A44"/>
    <w:rsid w:val="00AA1167"/>
    <w:rsid w:val="00AA3A8E"/>
    <w:rsid w:val="00AD1966"/>
    <w:rsid w:val="00AD2EE9"/>
    <w:rsid w:val="00AD39A7"/>
    <w:rsid w:val="00B205BA"/>
    <w:rsid w:val="00B20F24"/>
    <w:rsid w:val="00B26AB1"/>
    <w:rsid w:val="00B26B22"/>
    <w:rsid w:val="00B30113"/>
    <w:rsid w:val="00B40171"/>
    <w:rsid w:val="00B44F4B"/>
    <w:rsid w:val="00B64517"/>
    <w:rsid w:val="00B657C3"/>
    <w:rsid w:val="00B81A84"/>
    <w:rsid w:val="00B97A9C"/>
    <w:rsid w:val="00BC3998"/>
    <w:rsid w:val="00BD02A1"/>
    <w:rsid w:val="00BE29F2"/>
    <w:rsid w:val="00BF5CA1"/>
    <w:rsid w:val="00C07D0C"/>
    <w:rsid w:val="00C241B4"/>
    <w:rsid w:val="00C33E09"/>
    <w:rsid w:val="00C41758"/>
    <w:rsid w:val="00C43D14"/>
    <w:rsid w:val="00C4704F"/>
    <w:rsid w:val="00C47C60"/>
    <w:rsid w:val="00C61807"/>
    <w:rsid w:val="00C65FCA"/>
    <w:rsid w:val="00C70856"/>
    <w:rsid w:val="00C937E8"/>
    <w:rsid w:val="00C97D46"/>
    <w:rsid w:val="00CB636A"/>
    <w:rsid w:val="00CD11D7"/>
    <w:rsid w:val="00CE40CA"/>
    <w:rsid w:val="00CF4E14"/>
    <w:rsid w:val="00CF6F01"/>
    <w:rsid w:val="00D00046"/>
    <w:rsid w:val="00D014F5"/>
    <w:rsid w:val="00D0464D"/>
    <w:rsid w:val="00D100A7"/>
    <w:rsid w:val="00D2107A"/>
    <w:rsid w:val="00D230ED"/>
    <w:rsid w:val="00D329DD"/>
    <w:rsid w:val="00D33380"/>
    <w:rsid w:val="00D40E14"/>
    <w:rsid w:val="00D446F2"/>
    <w:rsid w:val="00D47D09"/>
    <w:rsid w:val="00D66CD2"/>
    <w:rsid w:val="00D763A0"/>
    <w:rsid w:val="00D82F55"/>
    <w:rsid w:val="00D8316C"/>
    <w:rsid w:val="00D966A5"/>
    <w:rsid w:val="00DC5B7E"/>
    <w:rsid w:val="00DE721E"/>
    <w:rsid w:val="00E01D17"/>
    <w:rsid w:val="00E0524D"/>
    <w:rsid w:val="00E17BF0"/>
    <w:rsid w:val="00E2407F"/>
    <w:rsid w:val="00E27FB5"/>
    <w:rsid w:val="00E32863"/>
    <w:rsid w:val="00E53779"/>
    <w:rsid w:val="00E561BC"/>
    <w:rsid w:val="00E90D9C"/>
    <w:rsid w:val="00E93509"/>
    <w:rsid w:val="00EA1D75"/>
    <w:rsid w:val="00EA39B4"/>
    <w:rsid w:val="00ED4CDF"/>
    <w:rsid w:val="00EF3E1F"/>
    <w:rsid w:val="00F168AF"/>
    <w:rsid w:val="00F31399"/>
    <w:rsid w:val="00F34A6A"/>
    <w:rsid w:val="00F4039A"/>
    <w:rsid w:val="00F4644A"/>
    <w:rsid w:val="00F53C17"/>
    <w:rsid w:val="00F55D33"/>
    <w:rsid w:val="00F5684A"/>
    <w:rsid w:val="00F70689"/>
    <w:rsid w:val="00F70880"/>
    <w:rsid w:val="00F76F08"/>
    <w:rsid w:val="00FB39B8"/>
    <w:rsid w:val="00FC1E66"/>
    <w:rsid w:val="00FD0861"/>
    <w:rsid w:val="00FD5A49"/>
    <w:rsid w:val="00FE3103"/>
    <w:rsid w:val="00FF6D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D34EB"/>
    <w:pPr>
      <w:keepNext/>
      <w:keepLines/>
      <w:spacing w:before="240" w:after="0"/>
      <w:jc w:val="center"/>
      <w:outlineLvl w:val="0"/>
    </w:pPr>
    <w:rPr>
      <w:rFonts w:ascii="Arial" w:eastAsiaTheme="majorEastAsia" w:hAnsi="Arial" w:cstheme="majorBidi"/>
      <w:b/>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styleId="Revize">
    <w:name w:val="Revision"/>
    <w:hidden/>
    <w:uiPriority w:val="99"/>
    <w:semiHidden/>
    <w:rsid w:val="00574953"/>
    <w:pPr>
      <w:spacing w:after="0" w:line="240" w:lineRule="auto"/>
    </w:pPr>
  </w:style>
  <w:style w:type="character" w:customStyle="1" w:styleId="Nadpis1Char">
    <w:name w:val="Nadpis 1 Char"/>
    <w:basedOn w:val="Standardnpsmoodstavce"/>
    <w:link w:val="Nadpis1"/>
    <w:uiPriority w:val="9"/>
    <w:rsid w:val="004D34EB"/>
    <w:rPr>
      <w:rFonts w:ascii="Arial" w:eastAsiaTheme="majorEastAsia" w:hAnsi="Arial" w:cstheme="majorBidi"/>
      <w:b/>
      <w:sz w:val="32"/>
      <w:szCs w:val="32"/>
    </w:rPr>
  </w:style>
  <w:style w:type="character" w:styleId="Odkaznakoment">
    <w:name w:val="annotation reference"/>
    <w:basedOn w:val="Standardnpsmoodstavce"/>
    <w:uiPriority w:val="99"/>
    <w:semiHidden/>
    <w:unhideWhenUsed/>
    <w:rsid w:val="00C47C60"/>
    <w:rPr>
      <w:sz w:val="16"/>
      <w:szCs w:val="16"/>
    </w:rPr>
  </w:style>
  <w:style w:type="paragraph" w:styleId="Textkomente">
    <w:name w:val="annotation text"/>
    <w:basedOn w:val="Normln"/>
    <w:link w:val="TextkomenteChar"/>
    <w:uiPriority w:val="99"/>
    <w:unhideWhenUsed/>
    <w:rsid w:val="00C47C60"/>
    <w:pPr>
      <w:spacing w:line="240" w:lineRule="auto"/>
    </w:pPr>
    <w:rPr>
      <w:sz w:val="20"/>
      <w:szCs w:val="20"/>
    </w:rPr>
  </w:style>
  <w:style w:type="character" w:customStyle="1" w:styleId="TextkomenteChar">
    <w:name w:val="Text komentáře Char"/>
    <w:basedOn w:val="Standardnpsmoodstavce"/>
    <w:link w:val="Textkomente"/>
    <w:uiPriority w:val="99"/>
    <w:rsid w:val="00C47C60"/>
    <w:rPr>
      <w:sz w:val="20"/>
      <w:szCs w:val="20"/>
    </w:rPr>
  </w:style>
  <w:style w:type="paragraph" w:styleId="Pedmtkomente">
    <w:name w:val="annotation subject"/>
    <w:basedOn w:val="Textkomente"/>
    <w:next w:val="Textkomente"/>
    <w:link w:val="PedmtkomenteChar"/>
    <w:uiPriority w:val="99"/>
    <w:semiHidden/>
    <w:unhideWhenUsed/>
    <w:rsid w:val="00C47C60"/>
    <w:rPr>
      <w:b/>
      <w:bCs/>
    </w:rPr>
  </w:style>
  <w:style w:type="character" w:customStyle="1" w:styleId="PedmtkomenteChar">
    <w:name w:val="Předmět komentáře Char"/>
    <w:basedOn w:val="TextkomenteChar"/>
    <w:link w:val="Pedmtkomente"/>
    <w:uiPriority w:val="99"/>
    <w:semiHidden/>
    <w:rsid w:val="00C47C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150055314">
      <w:bodyDiv w:val="1"/>
      <w:marLeft w:val="0"/>
      <w:marRight w:val="0"/>
      <w:marTop w:val="0"/>
      <w:marBottom w:val="0"/>
      <w:divBdr>
        <w:top w:val="none" w:sz="0" w:space="0" w:color="auto"/>
        <w:left w:val="none" w:sz="0" w:space="0" w:color="auto"/>
        <w:bottom w:val="none" w:sz="0" w:space="0" w:color="auto"/>
        <w:right w:val="none" w:sz="0" w:space="0" w:color="auto"/>
      </w:divBdr>
    </w:div>
    <w:div w:id="1263147239">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611</Words>
  <Characters>3609</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13</cp:revision>
  <cp:lastPrinted>2025-01-14T15:40:00Z</cp:lastPrinted>
  <dcterms:created xsi:type="dcterms:W3CDTF">2026-05-05T07:53:00Z</dcterms:created>
  <dcterms:modified xsi:type="dcterms:W3CDTF">2026-09-09T14:42:00Z</dcterms:modified>
</cp:coreProperties>
</file>