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C85B8" w14:textId="77777777" w:rsidR="00ED6FF6" w:rsidRPr="000252E1" w:rsidRDefault="00ED6FF6" w:rsidP="00ED6FF6">
      <w:pPr>
        <w:spacing w:before="240"/>
        <w:jc w:val="right"/>
        <w:rPr>
          <w:rFonts w:ascii="Arial" w:hAnsi="Arial" w:cs="Arial"/>
          <w:color w:val="2658A5"/>
          <w:sz w:val="48"/>
          <w:szCs w:val="48"/>
          <w:lang w:val="en-GB"/>
        </w:rPr>
      </w:pPr>
      <w:r w:rsidRPr="000252E1">
        <w:rPr>
          <w:rFonts w:ascii="Arial" w:eastAsia="Calibri" w:hAnsi="Arial" w:cs="Arial"/>
          <w:b/>
          <w:bCs/>
          <w:noProof/>
          <w:sz w:val="20"/>
          <w:szCs w:val="20"/>
          <w:lang w:val="en-GB"/>
        </w:rPr>
        <w:drawing>
          <wp:anchor distT="0" distB="0" distL="114300" distR="114300" simplePos="0" relativeHeight="251659264" behindDoc="0" locked="0" layoutInCell="1" allowOverlap="1" wp14:anchorId="3AE2C9AC" wp14:editId="295F9F8E">
            <wp:simplePos x="0" y="0"/>
            <wp:positionH relativeFrom="margin">
              <wp:posOffset>0</wp:posOffset>
            </wp:positionH>
            <wp:positionV relativeFrom="paragraph">
              <wp:posOffset>70485</wp:posOffset>
            </wp:positionV>
            <wp:extent cx="2695575" cy="511379"/>
            <wp:effectExtent l="0" t="0" r="0" b="3175"/>
            <wp:wrapNone/>
            <wp:docPr id="1284560963" name="Obrázek 1" descr="Obsah obrázku Písmo, Grafika,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60963" name="Obrázek 1" descr="Obsah obrázku Písmo, Grafika, text, snímek obrazovky&#10;&#10;Obsah generovaný pomocí AI může být nesprávn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511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2E1">
        <w:rPr>
          <w:rFonts w:ascii="Arial" w:hAnsi="Arial" w:cs="Arial"/>
          <w:color w:val="2658A5"/>
          <w:sz w:val="48"/>
          <w:szCs w:val="48"/>
          <w:lang w:val="en-GB"/>
        </w:rPr>
        <w:t>PRESS RELEASE</w:t>
      </w:r>
    </w:p>
    <w:p w14:paraId="0022BE11" w14:textId="4FE24414" w:rsidR="003E3B85" w:rsidRPr="000252E1" w:rsidRDefault="003E3B85" w:rsidP="003E3B85">
      <w:pPr>
        <w:jc w:val="both"/>
        <w:rPr>
          <w:rFonts w:ascii="Montserrat" w:hAnsi="Montserrat"/>
          <w:sz w:val="20"/>
          <w:szCs w:val="20"/>
          <w:lang w:val="en-GB"/>
        </w:rPr>
      </w:pPr>
    </w:p>
    <w:p w14:paraId="4ED7FC5D" w14:textId="72E64FFA" w:rsidR="00E20A1E" w:rsidRPr="00E20A1E" w:rsidRDefault="00081008" w:rsidP="00E20A1E">
      <w:pPr>
        <w:jc w:val="both"/>
        <w:rPr>
          <w:rFonts w:ascii="Montserrat" w:hAnsi="Montserrat"/>
          <w:b/>
          <w:bCs/>
          <w:color w:val="2658A5"/>
          <w:sz w:val="32"/>
          <w:szCs w:val="32"/>
          <w:lang w:val="en-GB"/>
        </w:rPr>
      </w:pPr>
      <w:r>
        <w:rPr>
          <w:rFonts w:ascii="Montserrat" w:hAnsi="Montserrat"/>
          <w:b/>
          <w:bCs/>
          <w:color w:val="2658A5"/>
          <w:sz w:val="32"/>
          <w:szCs w:val="32"/>
          <w:lang w:val="en-GB"/>
        </w:rPr>
        <w:t>Within</w:t>
      </w:r>
      <w:r w:rsidR="00E20A1E" w:rsidRPr="00E20A1E">
        <w:rPr>
          <w:rFonts w:ascii="Montserrat" w:hAnsi="Montserrat"/>
          <w:b/>
          <w:bCs/>
          <w:color w:val="2658A5"/>
          <w:sz w:val="32"/>
          <w:szCs w:val="32"/>
          <w:lang w:val="en-GB"/>
        </w:rPr>
        <w:t xml:space="preserve"> discount inspections in the first quarter, the CTIA found breaches of legal regulations in 40 percent of the inspections</w:t>
      </w:r>
    </w:p>
    <w:p w14:paraId="4EF9540D" w14:textId="77777777" w:rsidR="00E20A1E" w:rsidRPr="00E20A1E" w:rsidRDefault="00E20A1E" w:rsidP="00E20A1E">
      <w:pPr>
        <w:jc w:val="both"/>
        <w:rPr>
          <w:rFonts w:ascii="Arial" w:hAnsi="Arial" w:cs="Arial"/>
          <w:sz w:val="20"/>
          <w:szCs w:val="20"/>
          <w:lang w:val="en-GB"/>
        </w:rPr>
      </w:pPr>
      <w:r w:rsidRPr="00E20A1E">
        <w:rPr>
          <w:rFonts w:ascii="Arial" w:hAnsi="Arial" w:cs="Arial"/>
          <w:b/>
          <w:bCs/>
          <w:sz w:val="20"/>
          <w:szCs w:val="20"/>
          <w:lang w:val="en-GB"/>
        </w:rPr>
        <w:t>(Prague, June 17, 2026) The CTIA focuses on monitoring sellers’ compliance with their obligations when offering discounts on the prices of goods and services under Act No. 634/1992 Coll., on Consumer Protection. It also devoted increased attention to discount inspections in the first quarter of this year, when it carried out 652 inspections and found breaches of legal regulations in 257 of them.</w:t>
      </w:r>
    </w:p>
    <w:p w14:paraId="4E1A4F83" w14:textId="77777777" w:rsidR="00E20A1E" w:rsidRPr="00E20A1E" w:rsidRDefault="00E20A1E" w:rsidP="00E20A1E">
      <w:pPr>
        <w:jc w:val="both"/>
        <w:rPr>
          <w:rFonts w:ascii="Arial" w:hAnsi="Arial" w:cs="Arial"/>
          <w:sz w:val="20"/>
          <w:szCs w:val="20"/>
          <w:lang w:val="en-GB"/>
        </w:rPr>
      </w:pPr>
      <w:r w:rsidRPr="00E20A1E">
        <w:rPr>
          <w:rFonts w:ascii="Arial" w:hAnsi="Arial" w:cs="Arial"/>
          <w:sz w:val="20"/>
          <w:szCs w:val="20"/>
          <w:lang w:val="en-GB"/>
        </w:rPr>
        <w:t>Between January 2 and March 31, 2026, 652 inspections were carried out within an ongoing inspection activity to verify compliance with the obligations arising from Act No. 634/1992 Coll., on Consumer Protection, and other legal regulations</w:t>
      </w:r>
      <w:r w:rsidRPr="00E20A1E">
        <w:rPr>
          <w:rFonts w:ascii="Arial" w:hAnsi="Arial" w:cs="Arial"/>
          <w:b/>
          <w:bCs/>
          <w:sz w:val="20"/>
          <w:szCs w:val="20"/>
          <w:lang w:val="en-GB"/>
        </w:rPr>
        <w:t>. Out of a total of 652 inspections, breaches of legal regulations were identified in 257 inspections, i.e., 39.42% of the total number of inspections carried out.</w:t>
      </w:r>
      <w:r w:rsidRPr="00E20A1E">
        <w:rPr>
          <w:rFonts w:ascii="Arial" w:hAnsi="Arial" w:cs="Arial"/>
          <w:sz w:val="20"/>
          <w:szCs w:val="20"/>
          <w:lang w:val="en-GB"/>
        </w:rPr>
        <w:t xml:space="preserve"> This inspection activity focused on sellers’ compliance with the obligations arising from the provisions of Act No. 634/1992 Coll., on Consumer Protection, in connection with the provision of discounts when offering and selling goods and services. The inspections targeted self-employed individuals and legal entities within the entire market network, including the online environment. The objective of the inspection activity was to inspect actual selling prices and related price information for products that sellers claimed were discounted or offered in a manner that could give consumers the impression that a discount promotion was taking place.</w:t>
      </w:r>
    </w:p>
    <w:p w14:paraId="626937CB" w14:textId="77777777" w:rsidR="00E20A1E" w:rsidRPr="00E20A1E" w:rsidRDefault="00E20A1E" w:rsidP="00E20A1E">
      <w:pPr>
        <w:jc w:val="both"/>
        <w:rPr>
          <w:rFonts w:ascii="Arial" w:hAnsi="Arial" w:cs="Arial"/>
          <w:sz w:val="20"/>
          <w:szCs w:val="20"/>
          <w:lang w:val="en-GB"/>
        </w:rPr>
      </w:pPr>
      <w:r w:rsidRPr="00E20A1E">
        <w:rPr>
          <w:rFonts w:ascii="Arial" w:hAnsi="Arial" w:cs="Arial"/>
          <w:b/>
          <w:bCs/>
          <w:sz w:val="20"/>
          <w:szCs w:val="20"/>
          <w:lang w:val="en-GB"/>
        </w:rPr>
        <w:t>In the first quarter of 2026, the most frequently identified breach</w:t>
      </w:r>
      <w:r w:rsidRPr="00E20A1E">
        <w:rPr>
          <w:rFonts w:ascii="Arial" w:hAnsi="Arial" w:cs="Arial"/>
          <w:sz w:val="20"/>
          <w:szCs w:val="20"/>
          <w:lang w:val="en-GB"/>
        </w:rPr>
        <w:t xml:space="preserve"> concerned </w:t>
      </w:r>
      <w:r w:rsidRPr="00E20A1E">
        <w:rPr>
          <w:rFonts w:ascii="Arial" w:hAnsi="Arial" w:cs="Arial"/>
          <w:b/>
          <w:bCs/>
          <w:sz w:val="20"/>
          <w:szCs w:val="20"/>
          <w:lang w:val="en-GB"/>
        </w:rPr>
        <w:t>the use of unfair commercial practices. In this context, 112 cases were identified.</w:t>
      </w:r>
      <w:r w:rsidRPr="00E20A1E">
        <w:rPr>
          <w:rFonts w:ascii="Arial" w:hAnsi="Arial" w:cs="Arial"/>
          <w:sz w:val="20"/>
          <w:szCs w:val="20"/>
          <w:lang w:val="en-GB"/>
        </w:rPr>
        <w:t xml:space="preserve"> In 85 cases, the unfair commercial practice could have misled consumers regarding the price, the method of price calculation, or the existence of a specific price advantage, thereby influencing the consumer’s decision to make a purchase that they would not otherwise have made (Section 4(4) in conjunction with Section 5(2)(d) of Act No. 634/1992 Coll., on Consumer Protection). Other frequently identified breaches included Section 12a of the Act on Consumer Protection, concerning </w:t>
      </w:r>
      <w:r w:rsidRPr="00E20A1E">
        <w:rPr>
          <w:rFonts w:ascii="Arial" w:hAnsi="Arial" w:cs="Arial"/>
          <w:b/>
          <w:bCs/>
          <w:sz w:val="20"/>
          <w:szCs w:val="20"/>
          <w:lang w:val="en-GB"/>
        </w:rPr>
        <w:t>information on discounts and details of the lowest price</w:t>
      </w:r>
      <w:r w:rsidRPr="00E20A1E">
        <w:rPr>
          <w:rFonts w:ascii="Arial" w:hAnsi="Arial" w:cs="Arial"/>
          <w:sz w:val="20"/>
          <w:szCs w:val="20"/>
          <w:lang w:val="en-GB"/>
        </w:rPr>
        <w:t xml:space="preserve"> at which a product was offered and sold during the 30-day period prior to the discount being granted. Breaches of obligations related to discount information were identified </w:t>
      </w:r>
      <w:r w:rsidRPr="00E20A1E">
        <w:rPr>
          <w:rFonts w:ascii="Arial" w:hAnsi="Arial" w:cs="Arial"/>
          <w:b/>
          <w:bCs/>
          <w:sz w:val="20"/>
          <w:szCs w:val="20"/>
          <w:lang w:val="en-GB"/>
        </w:rPr>
        <w:t>in a total of</w:t>
      </w:r>
      <w:r w:rsidRPr="00E20A1E">
        <w:rPr>
          <w:rFonts w:ascii="Arial" w:hAnsi="Arial" w:cs="Arial"/>
          <w:sz w:val="20"/>
          <w:szCs w:val="20"/>
          <w:lang w:val="en-GB"/>
        </w:rPr>
        <w:t xml:space="preserve"> </w:t>
      </w:r>
      <w:r w:rsidRPr="00E20A1E">
        <w:rPr>
          <w:rFonts w:ascii="Arial" w:hAnsi="Arial" w:cs="Arial"/>
          <w:b/>
          <w:bCs/>
          <w:sz w:val="20"/>
          <w:szCs w:val="20"/>
          <w:lang w:val="en-GB"/>
        </w:rPr>
        <w:t>83 cases</w:t>
      </w:r>
      <w:r w:rsidRPr="00E20A1E">
        <w:rPr>
          <w:rFonts w:ascii="Arial" w:hAnsi="Arial" w:cs="Arial"/>
          <w:sz w:val="20"/>
          <w:szCs w:val="20"/>
          <w:lang w:val="en-GB"/>
        </w:rPr>
        <w:t xml:space="preserve">. Another frequent finding was a breach of Section 3 of the Act on Consumer Protection, which governs </w:t>
      </w:r>
      <w:r w:rsidRPr="00E20A1E">
        <w:rPr>
          <w:rFonts w:ascii="Arial" w:hAnsi="Arial" w:cs="Arial"/>
          <w:b/>
          <w:bCs/>
          <w:sz w:val="20"/>
          <w:szCs w:val="20"/>
          <w:lang w:val="en-GB"/>
        </w:rPr>
        <w:t>fairness in the sale of products and the provision of services, in 40 cases</w:t>
      </w:r>
      <w:r w:rsidRPr="00E20A1E">
        <w:rPr>
          <w:rFonts w:ascii="Arial" w:hAnsi="Arial" w:cs="Arial"/>
          <w:sz w:val="20"/>
          <w:szCs w:val="20"/>
          <w:lang w:val="en-GB"/>
        </w:rPr>
        <w:t xml:space="preserve">. </w:t>
      </w:r>
      <w:proofErr w:type="gramStart"/>
      <w:r w:rsidRPr="00E20A1E">
        <w:rPr>
          <w:rFonts w:ascii="Arial" w:hAnsi="Arial" w:cs="Arial"/>
          <w:sz w:val="20"/>
          <w:szCs w:val="20"/>
          <w:lang w:val="en-GB"/>
        </w:rPr>
        <w:t>Last but not least</w:t>
      </w:r>
      <w:proofErr w:type="gramEnd"/>
      <w:r w:rsidRPr="00E20A1E">
        <w:rPr>
          <w:rFonts w:ascii="Arial" w:hAnsi="Arial" w:cs="Arial"/>
          <w:sz w:val="20"/>
          <w:szCs w:val="20"/>
          <w:lang w:val="en-GB"/>
        </w:rPr>
        <w:t xml:space="preserve">, infringements of Section 12 of the Act on Consumer Protection—which concerns </w:t>
      </w:r>
      <w:r w:rsidRPr="00E20A1E">
        <w:rPr>
          <w:rFonts w:ascii="Arial" w:hAnsi="Arial" w:cs="Arial"/>
          <w:b/>
          <w:bCs/>
          <w:sz w:val="20"/>
          <w:szCs w:val="20"/>
          <w:lang w:val="en-GB"/>
        </w:rPr>
        <w:t xml:space="preserve">the seller’s obligation to provide information on the price of products sold or services provided in accordance with pricing regulations—were identified in 36 cases. </w:t>
      </w:r>
      <w:r w:rsidRPr="00E20A1E">
        <w:rPr>
          <w:rFonts w:ascii="Arial" w:hAnsi="Arial" w:cs="Arial"/>
          <w:sz w:val="20"/>
          <w:szCs w:val="20"/>
          <w:lang w:val="en-GB"/>
        </w:rPr>
        <w:t>In total, 449 breaches of legal regulations were identified within the inspection activity.</w:t>
      </w:r>
    </w:p>
    <w:p w14:paraId="798E5377" w14:textId="5BCE9181" w:rsidR="00E20A1E" w:rsidRPr="00E20A1E" w:rsidRDefault="00E20A1E" w:rsidP="00E20A1E">
      <w:pPr>
        <w:jc w:val="both"/>
        <w:rPr>
          <w:rFonts w:ascii="Arial" w:hAnsi="Arial" w:cs="Arial"/>
          <w:sz w:val="20"/>
          <w:szCs w:val="20"/>
          <w:lang w:val="en-GB"/>
        </w:rPr>
      </w:pPr>
      <w:r w:rsidRPr="00E20A1E">
        <w:rPr>
          <w:rFonts w:ascii="Arial" w:hAnsi="Arial" w:cs="Arial"/>
          <w:sz w:val="20"/>
          <w:szCs w:val="20"/>
          <w:lang w:val="en-GB"/>
        </w:rPr>
        <w:t xml:space="preserve">Based on the identified breaches of legal regulations within the surveillance scope of the Czech Trade Inspection Authority, a total of </w:t>
      </w:r>
      <w:r w:rsidRPr="00E20A1E">
        <w:rPr>
          <w:rFonts w:ascii="Arial" w:hAnsi="Arial" w:cs="Arial"/>
          <w:b/>
          <w:bCs/>
          <w:sz w:val="20"/>
          <w:szCs w:val="20"/>
          <w:lang w:val="en-GB"/>
        </w:rPr>
        <w:t>97 penalty measures</w:t>
      </w:r>
      <w:r w:rsidRPr="00E20A1E">
        <w:rPr>
          <w:rFonts w:ascii="Arial" w:hAnsi="Arial" w:cs="Arial"/>
          <w:sz w:val="20"/>
          <w:szCs w:val="20"/>
          <w:lang w:val="en-GB"/>
        </w:rPr>
        <w:t xml:space="preserve"> </w:t>
      </w:r>
      <w:proofErr w:type="spellStart"/>
      <w:r w:rsidRPr="00E20A1E">
        <w:rPr>
          <w:rFonts w:ascii="Arial" w:hAnsi="Arial" w:cs="Arial"/>
          <w:b/>
          <w:bCs/>
          <w:sz w:val="20"/>
          <w:szCs w:val="20"/>
          <w:lang w:val="en-GB"/>
        </w:rPr>
        <w:t>totaling</w:t>
      </w:r>
      <w:proofErr w:type="spellEnd"/>
      <w:r w:rsidRPr="00E20A1E">
        <w:rPr>
          <w:rFonts w:ascii="Arial" w:hAnsi="Arial" w:cs="Arial"/>
          <w:b/>
          <w:bCs/>
          <w:sz w:val="20"/>
          <w:szCs w:val="20"/>
          <w:lang w:val="en-GB"/>
        </w:rPr>
        <w:t xml:space="preserve"> 9,495,500 CZK</w:t>
      </w:r>
      <w:r w:rsidRPr="00E20A1E">
        <w:rPr>
          <w:rFonts w:ascii="Arial" w:hAnsi="Arial" w:cs="Arial"/>
          <w:sz w:val="20"/>
          <w:szCs w:val="20"/>
          <w:lang w:val="en-GB"/>
        </w:rPr>
        <w:t xml:space="preserve"> became legally binding between </w:t>
      </w:r>
      <w:r w:rsidRPr="00E20A1E">
        <w:rPr>
          <w:rFonts w:ascii="Arial" w:hAnsi="Arial" w:cs="Arial"/>
          <w:b/>
          <w:bCs/>
          <w:sz w:val="20"/>
          <w:szCs w:val="20"/>
          <w:lang w:val="en-GB"/>
        </w:rPr>
        <w:t>January 1 and March 31, 2026.</w:t>
      </w:r>
      <w:r w:rsidRPr="00E20A1E">
        <w:rPr>
          <w:rFonts w:ascii="Arial" w:hAnsi="Arial" w:cs="Arial"/>
          <w:sz w:val="20"/>
          <w:szCs w:val="20"/>
          <w:lang w:val="en-GB"/>
        </w:rPr>
        <w:t xml:space="preserve"> </w:t>
      </w:r>
      <w:r w:rsidRPr="00E20A1E">
        <w:rPr>
          <w:rFonts w:ascii="Arial" w:hAnsi="Arial" w:cs="Arial"/>
          <w:b/>
          <w:bCs/>
          <w:sz w:val="20"/>
          <w:szCs w:val="20"/>
          <w:lang w:val="en-GB"/>
        </w:rPr>
        <w:t>Within the inspection activities, a continuing trend was revealed in which some sellers replace the term “discount” with other marketing terms, such as “TOP PRICE,” “SUPER OFFER,” or “OUR PRICE,” without providing consumers with clear information about the original price or the actual amount of the price reduction.</w:t>
      </w:r>
      <w:r w:rsidRPr="00E20A1E">
        <w:rPr>
          <w:rFonts w:ascii="Arial" w:hAnsi="Arial" w:cs="Arial"/>
          <w:sz w:val="20"/>
          <w:szCs w:val="20"/>
          <w:lang w:val="en-GB"/>
        </w:rPr>
        <w:t xml:space="preserve"> The inspection results also confirm the importance of targeted inspections and the use of tools for monitoring price trends. Another current trend in the retail sector is the expanding use of electronic price tags, which are linked to retailers’ internal systems and allow for continuous price updates. This method of price labe</w:t>
      </w:r>
      <w:r w:rsidR="000252E1">
        <w:rPr>
          <w:rFonts w:ascii="Arial" w:hAnsi="Arial" w:cs="Arial"/>
          <w:sz w:val="20"/>
          <w:szCs w:val="20"/>
          <w:lang w:val="en-GB"/>
        </w:rPr>
        <w:t>l</w:t>
      </w:r>
      <w:r w:rsidRPr="00E20A1E">
        <w:rPr>
          <w:rFonts w:ascii="Arial" w:hAnsi="Arial" w:cs="Arial"/>
          <w:sz w:val="20"/>
          <w:szCs w:val="20"/>
          <w:lang w:val="en-GB"/>
        </w:rPr>
        <w:t>ling helps reduce the risk of human error during frequent changes to price data.</w:t>
      </w:r>
    </w:p>
    <w:p w14:paraId="1B656E3C" w14:textId="77777777" w:rsidR="00E20A1E" w:rsidRPr="000252E1" w:rsidRDefault="00E20A1E" w:rsidP="008C405E">
      <w:pPr>
        <w:jc w:val="both"/>
        <w:rPr>
          <w:rFonts w:ascii="Arial" w:hAnsi="Arial" w:cs="Arial"/>
          <w:sz w:val="20"/>
          <w:szCs w:val="20"/>
          <w:lang w:val="en-GB"/>
        </w:rPr>
      </w:pPr>
    </w:p>
    <w:sectPr w:rsidR="00E20A1E" w:rsidRPr="000252E1" w:rsidSect="00663C7B">
      <w:headerReference w:type="default" r:id="rId9"/>
      <w:footerReference w:type="default" r:id="rId10"/>
      <w:pgSz w:w="11906" w:h="16838"/>
      <w:pgMar w:top="1134" w:right="1417" w:bottom="1701"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53EE7" w14:textId="77777777" w:rsidR="005167A1" w:rsidRDefault="005167A1" w:rsidP="00807D68">
      <w:pPr>
        <w:spacing w:after="0" w:line="240" w:lineRule="auto"/>
      </w:pPr>
      <w:r>
        <w:separator/>
      </w:r>
    </w:p>
  </w:endnote>
  <w:endnote w:type="continuationSeparator" w:id="0">
    <w:p w14:paraId="6E8BD981" w14:textId="77777777" w:rsidR="005167A1" w:rsidRDefault="005167A1" w:rsidP="0080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E0C3" w14:textId="77777777" w:rsidR="00EA6390" w:rsidRPr="000B3C18" w:rsidRDefault="00EA6390" w:rsidP="00EA6390">
    <w:pPr>
      <w:spacing w:line="276" w:lineRule="auto"/>
      <w:ind w:left="5664" w:firstLine="708"/>
      <w:rPr>
        <w:rFonts w:ascii="Arial" w:hAnsi="Arial" w:cs="Arial"/>
        <w:bCs/>
        <w:color w:val="2658A5"/>
        <w:sz w:val="18"/>
        <w:szCs w:val="18"/>
      </w:rPr>
    </w:pPr>
    <w:r w:rsidRPr="000B3C18">
      <w:rPr>
        <w:rFonts w:ascii="Arial" w:hAnsi="Arial" w:cs="Arial"/>
        <w:noProof/>
        <w:color w:val="2658A5"/>
        <w:sz w:val="18"/>
        <w:szCs w:val="18"/>
        <w:lang w:eastAsia="cs-CZ"/>
      </w:rPr>
      <mc:AlternateContent>
        <mc:Choice Requires="wps">
          <w:drawing>
            <wp:anchor distT="0" distB="0" distL="114300" distR="114300" simplePos="0" relativeHeight="251659264" behindDoc="1" locked="0" layoutInCell="1" allowOverlap="1" wp14:anchorId="2219EF7A" wp14:editId="5804D10B">
              <wp:simplePos x="0" y="0"/>
              <wp:positionH relativeFrom="column">
                <wp:posOffset>3472180</wp:posOffset>
              </wp:positionH>
              <wp:positionV relativeFrom="paragraph">
                <wp:posOffset>10160</wp:posOffset>
              </wp:positionV>
              <wp:extent cx="2361564" cy="653414"/>
              <wp:effectExtent l="0" t="0" r="1270" b="127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4" cy="653414"/>
                      </a:xfrm>
                      <a:prstGeom prst="rect">
                        <a:avLst/>
                      </a:prstGeom>
                      <a:solidFill>
                        <a:srgbClr val="FFFFFF"/>
                      </a:solidFill>
                      <a:ln w="9525">
                        <a:noFill/>
                        <a:miter lim="800000"/>
                        <a:headEnd/>
                        <a:tailEnd/>
                      </a:ln>
                    </wps:spPr>
                    <wps:txbx>
                      <w:txbxContent>
                        <w:p w14:paraId="6B63D218" w14:textId="77777777" w:rsidR="00EA6390" w:rsidRPr="007F2BC4" w:rsidRDefault="00EA6390" w:rsidP="00EA6390">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2219EF7A" id="_x0000_t202" coordsize="21600,21600" o:spt="202" path="m,l,21600r21600,l21600,xe">
              <v:stroke joinstyle="miter"/>
              <v:path gradientshapeok="t" o:connecttype="rect"/>
            </v:shapetype>
            <v:shape id="Textové pole 2" o:spid="_x0000_s1026" type="#_x0000_t202" style="position:absolute;left:0;text-align:left;margin-left:273.4pt;margin-top:.8pt;width:185.95pt;height:5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" stroked="f">
              <v:textbox style="mso-fit-shape-to-text:t">
                <w:txbxContent>
                  <w:p w14:paraId="6B63D218" w14:textId="77777777" w:rsidR="00EA6390" w:rsidRPr="007F2BC4" w:rsidRDefault="00EA6390" w:rsidP="00EA6390">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v:textbox>
            </v:shape>
          </w:pict>
        </mc:Fallback>
      </mc:AlternateContent>
    </w:r>
    <w:r w:rsidRPr="000B3C18">
      <w:rPr>
        <w:rFonts w:ascii="Arial" w:hAnsi="Arial" w:cs="Arial"/>
        <w:noProof/>
        <w:color w:val="2658A5"/>
        <w:sz w:val="18"/>
        <w:szCs w:val="18"/>
        <w:lang w:eastAsia="cs-CZ"/>
      </w:rPr>
      <mc:AlternateContent>
        <mc:Choice Requires="wps">
          <w:drawing>
            <wp:anchor distT="0" distB="0" distL="114300" distR="114300" simplePos="0" relativeHeight="251660288" behindDoc="1" locked="0" layoutInCell="1" allowOverlap="1" wp14:anchorId="4BD475E7" wp14:editId="30BBEFC4">
              <wp:simplePos x="0" y="0"/>
              <wp:positionH relativeFrom="column">
                <wp:posOffset>-109220</wp:posOffset>
              </wp:positionH>
              <wp:positionV relativeFrom="paragraph">
                <wp:posOffset>7620</wp:posOffset>
              </wp:positionV>
              <wp:extent cx="2085975" cy="1404620"/>
              <wp:effectExtent l="0" t="0" r="9525" b="9525"/>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solidFill>
                        <a:srgbClr val="FFFFFF"/>
                      </a:solidFill>
                      <a:ln w="9525">
                        <a:noFill/>
                        <a:miter lim="800000"/>
                        <a:headEnd/>
                        <a:tailEnd/>
                      </a:ln>
                    </wps:spPr>
                    <wps:txbx>
                      <w:txbxContent>
                        <w:p w14:paraId="6F7FD56E" w14:textId="77777777" w:rsidR="00EA6390" w:rsidRPr="00DC6D14" w:rsidRDefault="00EA6390" w:rsidP="00EA6390">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4BD475E7" id="_x0000_s1027" type="#_x0000_t202" style="position:absolute;left:0;text-align:left;margin-left:-8.6pt;margin-top:.6pt;width:164.2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w9EQIAAP4DAAAOAAAAZHJzL2Uyb0RvYy54bWysk92O2yAQhe8r9R0Q942dKNlNrDirbbap&#10;Km1/pG0fAGMco2KGDiR2+vQdiDcbbe+q+gKBBw4z3xzWd0Nn2FGh12BLPp3knCkrodZ2X/If33fv&#10;l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" stroked="f">
              <v:textbox style="mso-fit-shape-to-text:t">
                <w:txbxContent>
                  <w:p w14:paraId="6F7FD56E" w14:textId="77777777" w:rsidR="00EA6390" w:rsidRPr="00DC6D14" w:rsidRDefault="00EA6390" w:rsidP="00EA6390">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v:textbox>
            </v:shape>
          </w:pict>
        </mc:Fallback>
      </mc:AlternateContent>
    </w:r>
  </w:p>
  <w:p w14:paraId="2E86EAD4" w14:textId="65788EBC" w:rsidR="00F34A6A" w:rsidRPr="00EA6390" w:rsidRDefault="00EA6390" w:rsidP="00EA6390">
    <w:pPr>
      <w:pStyle w:val="Zpat"/>
      <w:tabs>
        <w:tab w:val="clear" w:pos="4536"/>
        <w:tab w:val="clear" w:pos="9072"/>
        <w:tab w:val="left" w:pos="8280"/>
      </w:tabs>
      <w:rPr>
        <w:rFonts w:ascii="Arial" w:hAnsi="Arial" w:cs="Arial"/>
        <w:sz w:val="20"/>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A67E5" w14:textId="77777777" w:rsidR="005167A1" w:rsidRDefault="005167A1" w:rsidP="00807D68">
      <w:pPr>
        <w:spacing w:after="0" w:line="240" w:lineRule="auto"/>
      </w:pPr>
      <w:r>
        <w:separator/>
      </w:r>
    </w:p>
  </w:footnote>
  <w:footnote w:type="continuationSeparator" w:id="0">
    <w:p w14:paraId="5D2CB67A" w14:textId="77777777" w:rsidR="005167A1" w:rsidRDefault="005167A1" w:rsidP="0080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F505" w14:textId="77777777" w:rsidR="00807D68" w:rsidRDefault="00807D68">
    <w:pPr>
      <w:pStyle w:val="Zhlav"/>
    </w:pPr>
  </w:p>
  <w:p w14:paraId="03206D20" w14:textId="77777777" w:rsidR="00807D68" w:rsidRDefault="00807D6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0791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127E5B"/>
    <w:multiLevelType w:val="hybridMultilevel"/>
    <w:tmpl w:val="73D63B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0828777">
    <w:abstractNumId w:val="0"/>
  </w:num>
  <w:num w:numId="2" w16cid:durableId="881937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CF"/>
    <w:rsid w:val="00007B29"/>
    <w:rsid w:val="0001104D"/>
    <w:rsid w:val="00021550"/>
    <w:rsid w:val="00021A65"/>
    <w:rsid w:val="000252E1"/>
    <w:rsid w:val="0004019F"/>
    <w:rsid w:val="000618E1"/>
    <w:rsid w:val="00064B4B"/>
    <w:rsid w:val="000733E0"/>
    <w:rsid w:val="00081008"/>
    <w:rsid w:val="00084B25"/>
    <w:rsid w:val="00084D36"/>
    <w:rsid w:val="000879A3"/>
    <w:rsid w:val="000A2208"/>
    <w:rsid w:val="000A330F"/>
    <w:rsid w:val="000B3C18"/>
    <w:rsid w:val="000C669D"/>
    <w:rsid w:val="000F6F1A"/>
    <w:rsid w:val="000F7C54"/>
    <w:rsid w:val="001061EA"/>
    <w:rsid w:val="00106F12"/>
    <w:rsid w:val="00110DDF"/>
    <w:rsid w:val="00123099"/>
    <w:rsid w:val="00161988"/>
    <w:rsid w:val="001849FB"/>
    <w:rsid w:val="00194FCB"/>
    <w:rsid w:val="001B2024"/>
    <w:rsid w:val="001B235E"/>
    <w:rsid w:val="001B4DDD"/>
    <w:rsid w:val="001C172B"/>
    <w:rsid w:val="001D0E07"/>
    <w:rsid w:val="001D1E36"/>
    <w:rsid w:val="001D450D"/>
    <w:rsid w:val="001E4C96"/>
    <w:rsid w:val="001E7ACF"/>
    <w:rsid w:val="001F4290"/>
    <w:rsid w:val="001F4B61"/>
    <w:rsid w:val="00230AF3"/>
    <w:rsid w:val="00233827"/>
    <w:rsid w:val="0026517D"/>
    <w:rsid w:val="00277665"/>
    <w:rsid w:val="002A7DFF"/>
    <w:rsid w:val="002B5C46"/>
    <w:rsid w:val="002C6302"/>
    <w:rsid w:val="002D135E"/>
    <w:rsid w:val="002D2D2A"/>
    <w:rsid w:val="002D6F54"/>
    <w:rsid w:val="002E3349"/>
    <w:rsid w:val="00300EAC"/>
    <w:rsid w:val="00350179"/>
    <w:rsid w:val="00372411"/>
    <w:rsid w:val="00392808"/>
    <w:rsid w:val="003972CF"/>
    <w:rsid w:val="003A1B1B"/>
    <w:rsid w:val="003E3B85"/>
    <w:rsid w:val="003F45C0"/>
    <w:rsid w:val="0040748E"/>
    <w:rsid w:val="004610D1"/>
    <w:rsid w:val="0046373B"/>
    <w:rsid w:val="004643CE"/>
    <w:rsid w:val="00467B38"/>
    <w:rsid w:val="00472E5C"/>
    <w:rsid w:val="00494ACB"/>
    <w:rsid w:val="004A45B4"/>
    <w:rsid w:val="004B4EEA"/>
    <w:rsid w:val="004D7B4C"/>
    <w:rsid w:val="004E57A5"/>
    <w:rsid w:val="004F1491"/>
    <w:rsid w:val="004F6657"/>
    <w:rsid w:val="005133F8"/>
    <w:rsid w:val="005167A1"/>
    <w:rsid w:val="00516A20"/>
    <w:rsid w:val="0052264B"/>
    <w:rsid w:val="00534FAD"/>
    <w:rsid w:val="005440FD"/>
    <w:rsid w:val="005462AE"/>
    <w:rsid w:val="0058549F"/>
    <w:rsid w:val="00586F67"/>
    <w:rsid w:val="00587E89"/>
    <w:rsid w:val="00593ED7"/>
    <w:rsid w:val="005A3A49"/>
    <w:rsid w:val="005C5DC1"/>
    <w:rsid w:val="005D1E5B"/>
    <w:rsid w:val="005E234D"/>
    <w:rsid w:val="005E7C95"/>
    <w:rsid w:val="005F776A"/>
    <w:rsid w:val="00613448"/>
    <w:rsid w:val="00613A04"/>
    <w:rsid w:val="00636877"/>
    <w:rsid w:val="00663C7B"/>
    <w:rsid w:val="00676839"/>
    <w:rsid w:val="006B1CD0"/>
    <w:rsid w:val="006B49BE"/>
    <w:rsid w:val="006C583E"/>
    <w:rsid w:val="006F1C2A"/>
    <w:rsid w:val="00727EBF"/>
    <w:rsid w:val="00735C36"/>
    <w:rsid w:val="00761557"/>
    <w:rsid w:val="007674F2"/>
    <w:rsid w:val="007941E1"/>
    <w:rsid w:val="007962E9"/>
    <w:rsid w:val="007965B3"/>
    <w:rsid w:val="007B622A"/>
    <w:rsid w:val="007C40CF"/>
    <w:rsid w:val="007D4479"/>
    <w:rsid w:val="007F4504"/>
    <w:rsid w:val="00807D68"/>
    <w:rsid w:val="0083138B"/>
    <w:rsid w:val="00832D8E"/>
    <w:rsid w:val="00834C40"/>
    <w:rsid w:val="00836AB9"/>
    <w:rsid w:val="00890E35"/>
    <w:rsid w:val="00893E3E"/>
    <w:rsid w:val="008B0ED0"/>
    <w:rsid w:val="008C405E"/>
    <w:rsid w:val="008C7D96"/>
    <w:rsid w:val="008E5DBD"/>
    <w:rsid w:val="00901118"/>
    <w:rsid w:val="0090767D"/>
    <w:rsid w:val="00916C34"/>
    <w:rsid w:val="009244F2"/>
    <w:rsid w:val="009273B5"/>
    <w:rsid w:val="009362B5"/>
    <w:rsid w:val="00941499"/>
    <w:rsid w:val="00947614"/>
    <w:rsid w:val="00955DA0"/>
    <w:rsid w:val="009675A2"/>
    <w:rsid w:val="00970F06"/>
    <w:rsid w:val="00981BA6"/>
    <w:rsid w:val="009A56DD"/>
    <w:rsid w:val="009C675D"/>
    <w:rsid w:val="009D6B96"/>
    <w:rsid w:val="009F05F1"/>
    <w:rsid w:val="00A0081B"/>
    <w:rsid w:val="00A01CC5"/>
    <w:rsid w:val="00A245A3"/>
    <w:rsid w:val="00A44CB4"/>
    <w:rsid w:val="00A560E5"/>
    <w:rsid w:val="00A57931"/>
    <w:rsid w:val="00A75E8B"/>
    <w:rsid w:val="00A94184"/>
    <w:rsid w:val="00AB3F62"/>
    <w:rsid w:val="00AD7694"/>
    <w:rsid w:val="00AE1667"/>
    <w:rsid w:val="00AE5FDB"/>
    <w:rsid w:val="00AF3C17"/>
    <w:rsid w:val="00B01C27"/>
    <w:rsid w:val="00B44F4B"/>
    <w:rsid w:val="00B755E8"/>
    <w:rsid w:val="00B77682"/>
    <w:rsid w:val="00BD27C3"/>
    <w:rsid w:val="00BE2793"/>
    <w:rsid w:val="00BF278E"/>
    <w:rsid w:val="00BF2B57"/>
    <w:rsid w:val="00C008D5"/>
    <w:rsid w:val="00C044D0"/>
    <w:rsid w:val="00C04507"/>
    <w:rsid w:val="00C0585D"/>
    <w:rsid w:val="00C24DEB"/>
    <w:rsid w:val="00C27DE1"/>
    <w:rsid w:val="00C4233B"/>
    <w:rsid w:val="00C655B5"/>
    <w:rsid w:val="00C84714"/>
    <w:rsid w:val="00C97D46"/>
    <w:rsid w:val="00CA4501"/>
    <w:rsid w:val="00CB2E9C"/>
    <w:rsid w:val="00D00046"/>
    <w:rsid w:val="00D0358F"/>
    <w:rsid w:val="00D100A7"/>
    <w:rsid w:val="00D12604"/>
    <w:rsid w:val="00D200BA"/>
    <w:rsid w:val="00D65268"/>
    <w:rsid w:val="00D66CD2"/>
    <w:rsid w:val="00D763A0"/>
    <w:rsid w:val="00D86C16"/>
    <w:rsid w:val="00D91B2F"/>
    <w:rsid w:val="00D93D12"/>
    <w:rsid w:val="00D96F57"/>
    <w:rsid w:val="00D9700A"/>
    <w:rsid w:val="00DC5B7E"/>
    <w:rsid w:val="00DC5CBC"/>
    <w:rsid w:val="00DD6C9F"/>
    <w:rsid w:val="00DE0598"/>
    <w:rsid w:val="00DE6E36"/>
    <w:rsid w:val="00E20A1E"/>
    <w:rsid w:val="00E21C80"/>
    <w:rsid w:val="00E53088"/>
    <w:rsid w:val="00E56429"/>
    <w:rsid w:val="00E572C2"/>
    <w:rsid w:val="00E740A5"/>
    <w:rsid w:val="00E80D48"/>
    <w:rsid w:val="00EA6390"/>
    <w:rsid w:val="00EC5C4A"/>
    <w:rsid w:val="00EC6F9C"/>
    <w:rsid w:val="00ED4CDF"/>
    <w:rsid w:val="00ED6FF6"/>
    <w:rsid w:val="00F050CF"/>
    <w:rsid w:val="00F07AC0"/>
    <w:rsid w:val="00F168AF"/>
    <w:rsid w:val="00F32828"/>
    <w:rsid w:val="00F34A6A"/>
    <w:rsid w:val="00F4039A"/>
    <w:rsid w:val="00F52D46"/>
    <w:rsid w:val="00F55D33"/>
    <w:rsid w:val="00F81EB0"/>
    <w:rsid w:val="00F909F1"/>
    <w:rsid w:val="00FA6D33"/>
    <w:rsid w:val="00FB2607"/>
    <w:rsid w:val="00FB5B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B64AC"/>
  <w15:chartTrackingRefBased/>
  <w15:docId w15:val="{A6B7E4F7-B832-45EB-B1F5-D1FAA85C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07D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7D68"/>
  </w:style>
  <w:style w:type="paragraph" w:styleId="Zpat">
    <w:name w:val="footer"/>
    <w:basedOn w:val="Normln"/>
    <w:link w:val="ZpatChar"/>
    <w:uiPriority w:val="99"/>
    <w:unhideWhenUsed/>
    <w:rsid w:val="00807D68"/>
    <w:pPr>
      <w:tabs>
        <w:tab w:val="center" w:pos="4536"/>
        <w:tab w:val="right" w:pos="9072"/>
      </w:tabs>
      <w:spacing w:after="0" w:line="240" w:lineRule="auto"/>
    </w:pPr>
  </w:style>
  <w:style w:type="character" w:customStyle="1" w:styleId="ZpatChar">
    <w:name w:val="Zápatí Char"/>
    <w:basedOn w:val="Standardnpsmoodstavce"/>
    <w:link w:val="Zpat"/>
    <w:uiPriority w:val="99"/>
    <w:rsid w:val="00807D68"/>
  </w:style>
  <w:style w:type="table" w:styleId="Mkatabulky">
    <w:name w:val="Table Grid"/>
    <w:basedOn w:val="Normlntabulka"/>
    <w:uiPriority w:val="39"/>
    <w:rsid w:val="00B44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61557"/>
    <w:pPr>
      <w:ind w:left="720"/>
      <w:contextualSpacing/>
    </w:pPr>
  </w:style>
  <w:style w:type="paragraph" w:styleId="Revize">
    <w:name w:val="Revision"/>
    <w:hidden/>
    <w:uiPriority w:val="99"/>
    <w:semiHidden/>
    <w:rsid w:val="00CA4501"/>
    <w:pPr>
      <w:spacing w:after="0" w:line="240" w:lineRule="auto"/>
    </w:pPr>
  </w:style>
  <w:style w:type="character" w:styleId="Odkaznakoment">
    <w:name w:val="annotation reference"/>
    <w:basedOn w:val="Standardnpsmoodstavce"/>
    <w:uiPriority w:val="99"/>
    <w:semiHidden/>
    <w:unhideWhenUsed/>
    <w:rsid w:val="00392808"/>
    <w:rPr>
      <w:sz w:val="16"/>
      <w:szCs w:val="16"/>
    </w:rPr>
  </w:style>
  <w:style w:type="paragraph" w:styleId="Textkomente">
    <w:name w:val="annotation text"/>
    <w:basedOn w:val="Normln"/>
    <w:link w:val="TextkomenteChar"/>
    <w:uiPriority w:val="99"/>
    <w:unhideWhenUsed/>
    <w:rsid w:val="00392808"/>
    <w:pPr>
      <w:spacing w:line="240" w:lineRule="auto"/>
    </w:pPr>
    <w:rPr>
      <w:sz w:val="20"/>
      <w:szCs w:val="20"/>
    </w:rPr>
  </w:style>
  <w:style w:type="character" w:customStyle="1" w:styleId="TextkomenteChar">
    <w:name w:val="Text komentáře Char"/>
    <w:basedOn w:val="Standardnpsmoodstavce"/>
    <w:link w:val="Textkomente"/>
    <w:uiPriority w:val="99"/>
    <w:rsid w:val="00392808"/>
    <w:rPr>
      <w:sz w:val="20"/>
      <w:szCs w:val="20"/>
    </w:rPr>
  </w:style>
  <w:style w:type="paragraph" w:styleId="Pedmtkomente">
    <w:name w:val="annotation subject"/>
    <w:basedOn w:val="Textkomente"/>
    <w:next w:val="Textkomente"/>
    <w:link w:val="PedmtkomenteChar"/>
    <w:uiPriority w:val="99"/>
    <w:semiHidden/>
    <w:unhideWhenUsed/>
    <w:rsid w:val="00F81EB0"/>
    <w:rPr>
      <w:b/>
      <w:bCs/>
    </w:rPr>
  </w:style>
  <w:style w:type="character" w:customStyle="1" w:styleId="PedmtkomenteChar">
    <w:name w:val="Předmět komentáře Char"/>
    <w:basedOn w:val="TextkomenteChar"/>
    <w:link w:val="Pedmtkomente"/>
    <w:uiPriority w:val="99"/>
    <w:semiHidden/>
    <w:rsid w:val="00F81E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19507">
      <w:bodyDiv w:val="1"/>
      <w:marLeft w:val="0"/>
      <w:marRight w:val="0"/>
      <w:marTop w:val="0"/>
      <w:marBottom w:val="0"/>
      <w:divBdr>
        <w:top w:val="none" w:sz="0" w:space="0" w:color="auto"/>
        <w:left w:val="none" w:sz="0" w:space="0" w:color="auto"/>
        <w:bottom w:val="none" w:sz="0" w:space="0" w:color="auto"/>
        <w:right w:val="none" w:sz="0" w:space="0" w:color="auto"/>
      </w:divBdr>
    </w:div>
    <w:div w:id="157573970">
      <w:bodyDiv w:val="1"/>
      <w:marLeft w:val="0"/>
      <w:marRight w:val="0"/>
      <w:marTop w:val="0"/>
      <w:marBottom w:val="0"/>
      <w:divBdr>
        <w:top w:val="none" w:sz="0" w:space="0" w:color="auto"/>
        <w:left w:val="none" w:sz="0" w:space="0" w:color="auto"/>
        <w:bottom w:val="none" w:sz="0" w:space="0" w:color="auto"/>
        <w:right w:val="none" w:sz="0" w:space="0" w:color="auto"/>
      </w:divBdr>
    </w:div>
    <w:div w:id="621302136">
      <w:bodyDiv w:val="1"/>
      <w:marLeft w:val="0"/>
      <w:marRight w:val="0"/>
      <w:marTop w:val="0"/>
      <w:marBottom w:val="0"/>
      <w:divBdr>
        <w:top w:val="none" w:sz="0" w:space="0" w:color="auto"/>
        <w:left w:val="none" w:sz="0" w:space="0" w:color="auto"/>
        <w:bottom w:val="none" w:sz="0" w:space="0" w:color="auto"/>
        <w:right w:val="none" w:sz="0" w:space="0" w:color="auto"/>
      </w:divBdr>
    </w:div>
    <w:div w:id="661740271">
      <w:bodyDiv w:val="1"/>
      <w:marLeft w:val="0"/>
      <w:marRight w:val="0"/>
      <w:marTop w:val="0"/>
      <w:marBottom w:val="0"/>
      <w:divBdr>
        <w:top w:val="none" w:sz="0" w:space="0" w:color="auto"/>
        <w:left w:val="none" w:sz="0" w:space="0" w:color="auto"/>
        <w:bottom w:val="none" w:sz="0" w:space="0" w:color="auto"/>
        <w:right w:val="none" w:sz="0" w:space="0" w:color="auto"/>
      </w:divBdr>
    </w:div>
    <w:div w:id="740253140">
      <w:bodyDiv w:val="1"/>
      <w:marLeft w:val="0"/>
      <w:marRight w:val="0"/>
      <w:marTop w:val="0"/>
      <w:marBottom w:val="0"/>
      <w:divBdr>
        <w:top w:val="none" w:sz="0" w:space="0" w:color="auto"/>
        <w:left w:val="none" w:sz="0" w:space="0" w:color="auto"/>
        <w:bottom w:val="none" w:sz="0" w:space="0" w:color="auto"/>
        <w:right w:val="none" w:sz="0" w:space="0" w:color="auto"/>
      </w:divBdr>
    </w:div>
    <w:div w:id="751971847">
      <w:bodyDiv w:val="1"/>
      <w:marLeft w:val="0"/>
      <w:marRight w:val="0"/>
      <w:marTop w:val="0"/>
      <w:marBottom w:val="0"/>
      <w:divBdr>
        <w:top w:val="none" w:sz="0" w:space="0" w:color="auto"/>
        <w:left w:val="none" w:sz="0" w:space="0" w:color="auto"/>
        <w:bottom w:val="none" w:sz="0" w:space="0" w:color="auto"/>
        <w:right w:val="none" w:sz="0" w:space="0" w:color="auto"/>
      </w:divBdr>
    </w:div>
    <w:div w:id="818814218">
      <w:bodyDiv w:val="1"/>
      <w:marLeft w:val="0"/>
      <w:marRight w:val="0"/>
      <w:marTop w:val="0"/>
      <w:marBottom w:val="0"/>
      <w:divBdr>
        <w:top w:val="none" w:sz="0" w:space="0" w:color="auto"/>
        <w:left w:val="none" w:sz="0" w:space="0" w:color="auto"/>
        <w:bottom w:val="none" w:sz="0" w:space="0" w:color="auto"/>
        <w:right w:val="none" w:sz="0" w:space="0" w:color="auto"/>
      </w:divBdr>
    </w:div>
    <w:div w:id="1038702167">
      <w:bodyDiv w:val="1"/>
      <w:marLeft w:val="0"/>
      <w:marRight w:val="0"/>
      <w:marTop w:val="0"/>
      <w:marBottom w:val="0"/>
      <w:divBdr>
        <w:top w:val="none" w:sz="0" w:space="0" w:color="auto"/>
        <w:left w:val="none" w:sz="0" w:space="0" w:color="auto"/>
        <w:bottom w:val="none" w:sz="0" w:space="0" w:color="auto"/>
        <w:right w:val="none" w:sz="0" w:space="0" w:color="auto"/>
      </w:divBdr>
    </w:div>
    <w:div w:id="1180969205">
      <w:bodyDiv w:val="1"/>
      <w:marLeft w:val="0"/>
      <w:marRight w:val="0"/>
      <w:marTop w:val="0"/>
      <w:marBottom w:val="0"/>
      <w:divBdr>
        <w:top w:val="none" w:sz="0" w:space="0" w:color="auto"/>
        <w:left w:val="none" w:sz="0" w:space="0" w:color="auto"/>
        <w:bottom w:val="none" w:sz="0" w:space="0" w:color="auto"/>
        <w:right w:val="none" w:sz="0" w:space="0" w:color="auto"/>
      </w:divBdr>
    </w:div>
    <w:div w:id="199742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1FEE7-98A3-4788-B967-47E16946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579</Words>
  <Characters>3419</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Klimecká Ester, Mgr. Bc.</dc:creator>
  <cp:keywords/>
  <dc:description/>
  <cp:lastModifiedBy>Tichota Ondřej, Mgr., DiS.</cp:lastModifiedBy>
  <cp:revision>9</cp:revision>
  <cp:lastPrinted>2024-01-04T13:06:00Z</cp:lastPrinted>
  <dcterms:created xsi:type="dcterms:W3CDTF">2026-06-16T09:57:00Z</dcterms:created>
  <dcterms:modified xsi:type="dcterms:W3CDTF">2026-09-09T14:04:00Z</dcterms:modified>
</cp:coreProperties>
</file>