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9571E" w14:textId="77777777" w:rsidR="001E04E8" w:rsidRPr="00746C51" w:rsidRDefault="001E04E8" w:rsidP="001E04E8">
      <w:pPr>
        <w:spacing w:before="240"/>
        <w:jc w:val="right"/>
        <w:rPr>
          <w:rFonts w:ascii="Arial" w:hAnsi="Arial" w:cs="Arial"/>
          <w:color w:val="2658A5"/>
          <w:sz w:val="48"/>
          <w:szCs w:val="48"/>
          <w:lang w:val="en-GB"/>
        </w:rPr>
      </w:pPr>
      <w:r w:rsidRPr="00746C51">
        <w:rPr>
          <w:rFonts w:ascii="Arial" w:eastAsia="Calibri" w:hAnsi="Arial" w:cs="Arial"/>
          <w:b/>
          <w:bCs/>
          <w:sz w:val="20"/>
          <w:szCs w:val="20"/>
          <w:lang w:val="en-GB"/>
        </w:rPr>
        <w:drawing>
          <wp:anchor distT="0" distB="0" distL="114300" distR="114300" simplePos="0" relativeHeight="251659264" behindDoc="0" locked="0" layoutInCell="1" allowOverlap="1" wp14:anchorId="4CEFDF0F" wp14:editId="294D0F07">
            <wp:simplePos x="0" y="0"/>
            <wp:positionH relativeFrom="margin">
              <wp:posOffset>0</wp:posOffset>
            </wp:positionH>
            <wp:positionV relativeFrom="paragraph">
              <wp:posOffset>70485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6C51">
        <w:rPr>
          <w:rFonts w:ascii="Arial" w:hAnsi="Arial" w:cs="Arial"/>
          <w:color w:val="2658A5"/>
          <w:sz w:val="48"/>
          <w:szCs w:val="48"/>
          <w:lang w:val="en-GB"/>
        </w:rPr>
        <w:t>PRESS RELEASE</w:t>
      </w:r>
    </w:p>
    <w:p w14:paraId="0022BE11" w14:textId="4FE24414" w:rsidR="003E3B85" w:rsidRPr="00746C51" w:rsidRDefault="003E3B85" w:rsidP="003E3B85">
      <w:pPr>
        <w:jc w:val="both"/>
        <w:rPr>
          <w:rFonts w:ascii="Montserrat" w:hAnsi="Montserrat"/>
          <w:sz w:val="20"/>
          <w:szCs w:val="20"/>
          <w:lang w:val="en-GB"/>
        </w:rPr>
      </w:pPr>
    </w:p>
    <w:p w14:paraId="61DECB98" w14:textId="35BA47CC" w:rsidR="00973B7A" w:rsidRPr="00973B7A" w:rsidRDefault="00973B7A" w:rsidP="00973B7A">
      <w:pPr>
        <w:spacing w:before="100" w:beforeAutospacing="1" w:after="100" w:afterAutospacing="1"/>
        <w:outlineLvl w:val="0"/>
        <w:rPr>
          <w:rFonts w:ascii="Arial" w:hAnsi="Arial" w:cs="Arial"/>
          <w:b/>
          <w:bCs/>
          <w:color w:val="2658A5"/>
          <w:sz w:val="32"/>
          <w:szCs w:val="32"/>
          <w:lang w:val="en-GB"/>
        </w:rPr>
      </w:pPr>
      <w:r w:rsidRPr="00746C51">
        <w:rPr>
          <w:rFonts w:ascii="Arial" w:hAnsi="Arial" w:cs="Arial"/>
          <w:b/>
          <w:bCs/>
          <w:color w:val="2658A5"/>
          <w:sz w:val="32"/>
          <w:szCs w:val="32"/>
          <w:lang w:val="en-GB"/>
        </w:rPr>
        <w:t xml:space="preserve">CTIA </w:t>
      </w:r>
      <w:r w:rsidRPr="00973B7A">
        <w:rPr>
          <w:rFonts w:ascii="Arial" w:hAnsi="Arial" w:cs="Arial"/>
          <w:b/>
          <w:bCs/>
          <w:color w:val="2658A5"/>
          <w:sz w:val="32"/>
          <w:szCs w:val="32"/>
          <w:lang w:val="en-GB"/>
        </w:rPr>
        <w:t xml:space="preserve">inspected compliance with the ban on sale of alcohol and tobacco products to </w:t>
      </w:r>
      <w:r w:rsidR="00746C51" w:rsidRPr="00746C51">
        <w:rPr>
          <w:rFonts w:ascii="Arial" w:hAnsi="Arial" w:cs="Arial"/>
          <w:b/>
          <w:bCs/>
          <w:color w:val="2658A5"/>
          <w:sz w:val="32"/>
          <w:szCs w:val="32"/>
          <w:lang w:val="en-GB"/>
        </w:rPr>
        <w:t>juveniles</w:t>
      </w:r>
    </w:p>
    <w:p w14:paraId="3B3575B6" w14:textId="7E19D472"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i/>
          <w:iCs/>
          <w:sz w:val="20"/>
          <w:szCs w:val="20"/>
          <w:lang w:val="en-GB"/>
        </w:rPr>
        <w:t xml:space="preserve">(Report for the </w:t>
      </w:r>
      <w:r w:rsidRPr="00746C51">
        <w:rPr>
          <w:rFonts w:ascii="Arial" w:eastAsia="Calibri" w:hAnsi="Arial" w:cs="Arial"/>
          <w:i/>
          <w:iCs/>
          <w:sz w:val="20"/>
          <w:szCs w:val="20"/>
          <w:lang w:val="en-GB"/>
        </w:rPr>
        <w:t>f</w:t>
      </w:r>
      <w:r w:rsidRPr="00973B7A">
        <w:rPr>
          <w:rFonts w:ascii="Arial" w:eastAsia="Calibri" w:hAnsi="Arial" w:cs="Arial"/>
          <w:i/>
          <w:iCs/>
          <w:sz w:val="20"/>
          <w:szCs w:val="20"/>
          <w:lang w:val="en-GB"/>
        </w:rPr>
        <w:t xml:space="preserve">irst </w:t>
      </w:r>
      <w:r w:rsidRPr="00746C51">
        <w:rPr>
          <w:rFonts w:ascii="Arial" w:eastAsia="Calibri" w:hAnsi="Arial" w:cs="Arial"/>
          <w:i/>
          <w:iCs/>
          <w:sz w:val="20"/>
          <w:szCs w:val="20"/>
          <w:lang w:val="en-GB"/>
        </w:rPr>
        <w:t>q</w:t>
      </w:r>
      <w:r w:rsidRPr="00973B7A">
        <w:rPr>
          <w:rFonts w:ascii="Arial" w:eastAsia="Calibri" w:hAnsi="Arial" w:cs="Arial"/>
          <w:i/>
          <w:iCs/>
          <w:sz w:val="20"/>
          <w:szCs w:val="20"/>
          <w:lang w:val="en-GB"/>
        </w:rPr>
        <w:t>uarter of 2026)</w:t>
      </w:r>
    </w:p>
    <w:p w14:paraId="0CF1ABC0"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(Prague, June 30, 2026) </w:t>
      </w:r>
      <w:r w:rsidRPr="00973B7A">
        <w:rPr>
          <w:rFonts w:ascii="Arial" w:eastAsia="Calibri" w:hAnsi="Arial" w:cs="Arial"/>
          <w:b/>
          <w:bCs/>
          <w:sz w:val="20"/>
          <w:szCs w:val="20"/>
          <w:lang w:val="en-GB"/>
        </w:rPr>
        <w:t>During the first quarter, the Czech Trade Inspection Authority continued its inspection activity, which primarily verifies whether sellers comply with Act No. 65/2017 Coll., on the protection of health against the harmful effects of addictive substances, and other legal requirements within the CTIA’s surveillance jurisdiction. It inspected 1,666 times and identified infringements in 721 of them (43.28%). Among the most serious findings was the sale of alcoholic beverages to minors, which was detected in 75 cases.</w:t>
      </w:r>
    </w:p>
    <w:p w14:paraId="2E56960E"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The inspection activity focused primarily on compliance with legal regulations governing the offering and sale of alcoholic beverages and tobacco products, smoking accessories, herbal products intended for smoking, electronic cigarettes, tobacco-free nicotine pouches, and nicotine-containing products. Between January 2 and March 31, </w:t>
      </w:r>
      <w:proofErr w:type="gramStart"/>
      <w:r w:rsidRPr="00973B7A">
        <w:rPr>
          <w:rFonts w:ascii="Arial" w:eastAsia="Calibri" w:hAnsi="Arial" w:cs="Arial"/>
          <w:sz w:val="20"/>
          <w:szCs w:val="20"/>
          <w:lang w:val="en-GB"/>
        </w:rPr>
        <w:t xml:space="preserve">2026 </w:t>
      </w:r>
      <w:r w:rsidRPr="00973B7A">
        <w:rPr>
          <w:rFonts w:ascii="Arial" w:eastAsia="Calibri" w:hAnsi="Arial" w:cs="Arial"/>
          <w:b/>
          <w:bCs/>
          <w:sz w:val="20"/>
          <w:szCs w:val="20"/>
          <w:lang w:val="en-GB"/>
        </w:rPr>
        <w:t>,</w:t>
      </w:r>
      <w:proofErr w:type="gramEnd"/>
      <w:r w:rsidRPr="00973B7A">
        <w:rPr>
          <w:rFonts w:ascii="Arial" w:eastAsia="Calibri" w:hAnsi="Arial" w:cs="Arial"/>
          <w:b/>
          <w:bCs/>
          <w:sz w:val="20"/>
          <w:szCs w:val="20"/>
          <w:lang w:val="en-GB"/>
        </w:rPr>
        <w:t xml:space="preserve"> a total of 1,666 inspections were carried out, of which nearly half (721) resulted in an infringement (43.28%). Breaches of laws governing the offering and sale of alcoholic beverages and tobacco and related products were found in 129 inspections (7.74%).</w:t>
      </w:r>
      <w:r w:rsidRPr="00973B7A">
        <w:rPr>
          <w:rFonts w:ascii="Arial" w:eastAsia="Calibri" w:hAnsi="Arial" w:cs="Arial"/>
          <w:sz w:val="20"/>
          <w:szCs w:val="20"/>
          <w:lang w:val="en-GB"/>
        </w:rPr>
        <w:t xml:space="preserve"> </w:t>
      </w:r>
      <w:r w:rsidRPr="00973B7A">
        <w:rPr>
          <w:rFonts w:ascii="Arial" w:eastAsia="Calibri" w:hAnsi="Arial" w:cs="Arial"/>
          <w:b/>
          <w:bCs/>
          <w:sz w:val="20"/>
          <w:szCs w:val="20"/>
          <w:lang w:val="en-GB"/>
        </w:rPr>
        <w:t>In 207 test purchases, the CTIA collaborated with individuals under the age of 18 acting as decoys</w:t>
      </w:r>
      <w:r w:rsidRPr="00973B7A">
        <w:rPr>
          <w:rFonts w:ascii="Arial" w:eastAsia="Calibri" w:hAnsi="Arial" w:cs="Arial"/>
          <w:sz w:val="20"/>
          <w:szCs w:val="20"/>
          <w:lang w:val="en-GB"/>
        </w:rPr>
        <w:t>; 12 inspections were carried out in cooperation with trade licensing office staff, 16 with the participation of the Czech Police, 6 in cooperation with the Czech Customs Administration, 1 inspection was carried out in coordination with members of the Alien Police, 5 inspections in cooperation with inspectors from the State Agricultural and Food Inspection Authority, and 2 inspections in cooperation with the Regional Public Health Office. Some inspections involved multiple government agencies simultaneously.</w:t>
      </w:r>
    </w:p>
    <w:p w14:paraId="4AC75E7E"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b/>
          <w:bCs/>
          <w:sz w:val="20"/>
          <w:szCs w:val="20"/>
          <w:lang w:val="en-GB"/>
        </w:rPr>
        <w:t>Breaches of any provision of Act No. 65/2017 Coll., on the Protection of Health from the Harmful Effects of Addictive Substances, were identified in 130 cases. Of this number:</w:t>
      </w:r>
    </w:p>
    <w:p w14:paraId="5D80E595"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 </w:t>
      </w:r>
      <w:proofErr w:type="gramStart"/>
      <w:r w:rsidRPr="00973B7A">
        <w:rPr>
          <w:rFonts w:ascii="Arial" w:eastAsia="Calibri" w:hAnsi="Arial" w:cs="Arial"/>
          <w:b/>
          <w:bCs/>
          <w:sz w:val="20"/>
          <w:szCs w:val="20"/>
          <w:lang w:val="en-GB"/>
        </w:rPr>
        <w:t>in</w:t>
      </w:r>
      <w:proofErr w:type="gramEnd"/>
      <w:r w:rsidRPr="00973B7A">
        <w:rPr>
          <w:rFonts w:ascii="Arial" w:eastAsia="Calibri" w:hAnsi="Arial" w:cs="Arial"/>
          <w:b/>
          <w:bCs/>
          <w:sz w:val="20"/>
          <w:szCs w:val="20"/>
          <w:lang w:val="en-GB"/>
        </w:rPr>
        <w:t xml:space="preserve"> 75 cases, an infringement of Section 11(5) was found, which prohibits the sale or serving of alcoholic beverages to persons under the age of 18,</w:t>
      </w:r>
    </w:p>
    <w:p w14:paraId="34F46EDB"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 </w:t>
      </w:r>
      <w:proofErr w:type="gramStart"/>
      <w:r w:rsidRPr="00973B7A">
        <w:rPr>
          <w:rFonts w:ascii="Arial" w:eastAsia="Calibri" w:hAnsi="Arial" w:cs="Arial"/>
          <w:b/>
          <w:bCs/>
          <w:sz w:val="20"/>
          <w:szCs w:val="20"/>
          <w:lang w:val="en-GB"/>
        </w:rPr>
        <w:t>in</w:t>
      </w:r>
      <w:proofErr w:type="gramEnd"/>
      <w:r w:rsidRPr="00973B7A">
        <w:rPr>
          <w:rFonts w:ascii="Arial" w:eastAsia="Calibri" w:hAnsi="Arial" w:cs="Arial"/>
          <w:b/>
          <w:bCs/>
          <w:sz w:val="20"/>
          <w:szCs w:val="20"/>
          <w:lang w:val="en-GB"/>
        </w:rPr>
        <w:t xml:space="preserve"> 23 cases</w:t>
      </w:r>
      <w:r w:rsidRPr="00973B7A">
        <w:rPr>
          <w:rFonts w:ascii="Arial" w:eastAsia="Calibri" w:hAnsi="Arial" w:cs="Arial"/>
          <w:sz w:val="20"/>
          <w:szCs w:val="20"/>
          <w:lang w:val="en-GB"/>
        </w:rPr>
        <w:t xml:space="preserve"> </w:t>
      </w:r>
      <w:r w:rsidRPr="00973B7A">
        <w:rPr>
          <w:rFonts w:ascii="Arial" w:eastAsia="Calibri" w:hAnsi="Arial" w:cs="Arial"/>
          <w:b/>
          <w:bCs/>
          <w:sz w:val="20"/>
          <w:szCs w:val="20"/>
          <w:lang w:val="en-GB"/>
        </w:rPr>
        <w:t>an infringement of Section 13(1) was found</w:t>
      </w:r>
      <w:r w:rsidRPr="00973B7A">
        <w:rPr>
          <w:rFonts w:ascii="Arial" w:eastAsia="Calibri" w:hAnsi="Arial" w:cs="Arial"/>
          <w:sz w:val="20"/>
          <w:szCs w:val="20"/>
          <w:lang w:val="en-GB"/>
        </w:rPr>
        <w:t>, as sellers failed to display</w:t>
      </w:r>
    </w:p>
    <w:p w14:paraId="204D865A"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at points of sale for alcoholic beverages a clearly visible notice regarding the prohibition on selling such beverages to persons under the age of 18, or the notice was not provided in the form prescribed by law, i.e., in the Czech language, in black block letters on a white background</w:t>
      </w:r>
    </w:p>
    <w:p w14:paraId="5927E669"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with a font size of at least 2 cm,</w:t>
      </w:r>
    </w:p>
    <w:p w14:paraId="6ABF416E"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 </w:t>
      </w:r>
      <w:proofErr w:type="gramStart"/>
      <w:r w:rsidRPr="00973B7A">
        <w:rPr>
          <w:rFonts w:ascii="Arial" w:eastAsia="Calibri" w:hAnsi="Arial" w:cs="Arial"/>
          <w:b/>
          <w:bCs/>
          <w:sz w:val="20"/>
          <w:szCs w:val="20"/>
          <w:lang w:val="en-GB"/>
        </w:rPr>
        <w:t>in</w:t>
      </w:r>
      <w:proofErr w:type="gramEnd"/>
      <w:r w:rsidRPr="00973B7A">
        <w:rPr>
          <w:rFonts w:ascii="Arial" w:eastAsia="Calibri" w:hAnsi="Arial" w:cs="Arial"/>
          <w:b/>
          <w:bCs/>
          <w:sz w:val="20"/>
          <w:szCs w:val="20"/>
          <w:lang w:val="en-GB"/>
        </w:rPr>
        <w:t xml:space="preserve"> 15 cases</w:t>
      </w:r>
      <w:r w:rsidRPr="00973B7A">
        <w:rPr>
          <w:rFonts w:ascii="Arial" w:eastAsia="Calibri" w:hAnsi="Arial" w:cs="Arial"/>
          <w:sz w:val="20"/>
          <w:szCs w:val="20"/>
          <w:lang w:val="en-GB"/>
        </w:rPr>
        <w:t>, retailers at points of sale for tobacco products, smoking accessories, herbal products intended for smoking, electronic cigarettes, and nicotine pouches without tobacco content</w:t>
      </w:r>
    </w:p>
    <w:p w14:paraId="463DF965"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and nicotine-containing products failed to display, in a manner clearly visible to consumers, text prohibiting the sale of these goods to persons under the age of 18; or, where such text was displayed, it was not in the form prescribed by law, i.e., in the Czech language, in black block letters on a white background with a font size of at least 2 cm, </w:t>
      </w:r>
      <w:r w:rsidRPr="00973B7A">
        <w:rPr>
          <w:rFonts w:ascii="Arial" w:eastAsia="Calibri" w:hAnsi="Arial" w:cs="Arial"/>
          <w:b/>
          <w:bCs/>
          <w:sz w:val="20"/>
          <w:szCs w:val="20"/>
          <w:lang w:val="en-GB"/>
        </w:rPr>
        <w:t>thereby committing an infringement of Section 5(2)</w:t>
      </w:r>
      <w:r w:rsidRPr="00973B7A">
        <w:rPr>
          <w:rFonts w:ascii="Arial" w:eastAsia="Calibri" w:hAnsi="Arial" w:cs="Arial"/>
          <w:sz w:val="20"/>
          <w:szCs w:val="20"/>
          <w:lang w:val="en-GB"/>
        </w:rPr>
        <w:t>,</w:t>
      </w:r>
    </w:p>
    <w:p w14:paraId="529568C3"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lastRenderedPageBreak/>
        <w:t xml:space="preserve">· </w:t>
      </w:r>
      <w:proofErr w:type="gramStart"/>
      <w:r w:rsidRPr="00973B7A">
        <w:rPr>
          <w:rFonts w:ascii="Arial" w:eastAsia="Calibri" w:hAnsi="Arial" w:cs="Arial"/>
          <w:b/>
          <w:bCs/>
          <w:sz w:val="20"/>
          <w:szCs w:val="20"/>
          <w:lang w:val="en-GB"/>
        </w:rPr>
        <w:t>in</w:t>
      </w:r>
      <w:proofErr w:type="gramEnd"/>
      <w:r w:rsidRPr="00973B7A">
        <w:rPr>
          <w:rFonts w:ascii="Arial" w:eastAsia="Calibri" w:hAnsi="Arial" w:cs="Arial"/>
          <w:b/>
          <w:bCs/>
          <w:sz w:val="20"/>
          <w:szCs w:val="20"/>
          <w:lang w:val="en-GB"/>
        </w:rPr>
        <w:t xml:space="preserve"> 10 cases</w:t>
      </w:r>
      <w:r w:rsidRPr="00973B7A">
        <w:rPr>
          <w:rFonts w:ascii="Arial" w:eastAsia="Calibri" w:hAnsi="Arial" w:cs="Arial"/>
          <w:sz w:val="20"/>
          <w:szCs w:val="20"/>
          <w:lang w:val="en-GB"/>
        </w:rPr>
        <w:t xml:space="preserve">, an infringement of the provisions of </w:t>
      </w:r>
      <w:r w:rsidRPr="00973B7A">
        <w:rPr>
          <w:rFonts w:ascii="Arial" w:eastAsia="Calibri" w:hAnsi="Arial" w:cs="Arial"/>
          <w:b/>
          <w:bCs/>
          <w:sz w:val="20"/>
          <w:szCs w:val="20"/>
          <w:lang w:val="en-GB"/>
        </w:rPr>
        <w:t>Section 3(4)</w:t>
      </w:r>
      <w:r w:rsidRPr="00973B7A">
        <w:rPr>
          <w:rFonts w:ascii="Arial" w:eastAsia="Calibri" w:hAnsi="Arial" w:cs="Arial"/>
          <w:sz w:val="20"/>
          <w:szCs w:val="20"/>
          <w:lang w:val="en-GB"/>
        </w:rPr>
        <w:t xml:space="preserve"> was found, as </w:t>
      </w:r>
      <w:r w:rsidRPr="00973B7A">
        <w:rPr>
          <w:rFonts w:ascii="Arial" w:eastAsia="Calibri" w:hAnsi="Arial" w:cs="Arial"/>
          <w:b/>
          <w:bCs/>
          <w:sz w:val="20"/>
          <w:szCs w:val="20"/>
          <w:lang w:val="en-GB"/>
        </w:rPr>
        <w:t xml:space="preserve">sellers breached </w:t>
      </w:r>
    </w:p>
    <w:p w14:paraId="48E0EF36"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 </w:t>
      </w:r>
      <w:proofErr w:type="gramStart"/>
      <w:r w:rsidRPr="00973B7A">
        <w:rPr>
          <w:rFonts w:ascii="Arial" w:eastAsia="Calibri" w:hAnsi="Arial" w:cs="Arial"/>
          <w:b/>
          <w:bCs/>
          <w:sz w:val="20"/>
          <w:szCs w:val="20"/>
          <w:lang w:val="en-GB"/>
        </w:rPr>
        <w:t>in</w:t>
      </w:r>
      <w:proofErr w:type="gramEnd"/>
      <w:r w:rsidRPr="00973B7A">
        <w:rPr>
          <w:rFonts w:ascii="Arial" w:eastAsia="Calibri" w:hAnsi="Arial" w:cs="Arial"/>
          <w:b/>
          <w:bCs/>
          <w:sz w:val="20"/>
          <w:szCs w:val="20"/>
          <w:lang w:val="en-GB"/>
        </w:rPr>
        <w:t xml:space="preserve"> 9 cases, the prohibition on selling or providing tobacco products, herbal products intended for smoking, electronic cigarettes, tobacco-free nicotine pouches, and/or nicotine-containing products to persons under the age of 18; and in one case, there was a breach of the prohibition on selling smoking accessories to persons under the age of 18;</w:t>
      </w:r>
    </w:p>
    <w:p w14:paraId="7845B372"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 </w:t>
      </w:r>
      <w:proofErr w:type="gramStart"/>
      <w:r w:rsidRPr="00973B7A">
        <w:rPr>
          <w:rFonts w:ascii="Arial" w:eastAsia="Calibri" w:hAnsi="Arial" w:cs="Arial"/>
          <w:b/>
          <w:bCs/>
          <w:sz w:val="20"/>
          <w:szCs w:val="20"/>
          <w:lang w:val="en-GB"/>
        </w:rPr>
        <w:t>in</w:t>
      </w:r>
      <w:proofErr w:type="gramEnd"/>
      <w:r w:rsidRPr="00973B7A">
        <w:rPr>
          <w:rFonts w:ascii="Arial" w:eastAsia="Calibri" w:hAnsi="Arial" w:cs="Arial"/>
          <w:b/>
          <w:bCs/>
          <w:sz w:val="20"/>
          <w:szCs w:val="20"/>
          <w:lang w:val="en-GB"/>
        </w:rPr>
        <w:t xml:space="preserve"> 2 cases</w:t>
      </w:r>
      <w:r w:rsidRPr="00973B7A">
        <w:rPr>
          <w:rFonts w:ascii="Arial" w:eastAsia="Calibri" w:hAnsi="Arial" w:cs="Arial"/>
          <w:sz w:val="20"/>
          <w:szCs w:val="20"/>
          <w:lang w:val="en-GB"/>
        </w:rPr>
        <w:t xml:space="preserve">, sellers sold alcoholic beverages via a means of distance communication without ensuring that such sales were not made to persons under the age of 18, thereby breaching the provisions of </w:t>
      </w:r>
      <w:r w:rsidRPr="00973B7A">
        <w:rPr>
          <w:rFonts w:ascii="Arial" w:eastAsia="Calibri" w:hAnsi="Arial" w:cs="Arial"/>
          <w:b/>
          <w:bCs/>
          <w:sz w:val="20"/>
          <w:szCs w:val="20"/>
          <w:lang w:val="en-GB"/>
        </w:rPr>
        <w:t>Section 15(1),</w:t>
      </w:r>
      <w:r w:rsidRPr="00973B7A">
        <w:rPr>
          <w:rFonts w:ascii="Arial" w:eastAsia="Calibri" w:hAnsi="Arial" w:cs="Arial"/>
          <w:sz w:val="20"/>
          <w:szCs w:val="20"/>
          <w:lang w:val="en-GB"/>
        </w:rPr>
        <w:t xml:space="preserve"> </w:t>
      </w:r>
    </w:p>
    <w:p w14:paraId="25020B89"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 </w:t>
      </w:r>
      <w:proofErr w:type="gramStart"/>
      <w:r w:rsidRPr="00973B7A">
        <w:rPr>
          <w:rFonts w:ascii="Arial" w:eastAsia="Calibri" w:hAnsi="Arial" w:cs="Arial"/>
          <w:sz w:val="20"/>
          <w:szCs w:val="20"/>
          <w:lang w:val="en-GB"/>
        </w:rPr>
        <w:t>there</w:t>
      </w:r>
      <w:proofErr w:type="gramEnd"/>
      <w:r w:rsidRPr="00973B7A">
        <w:rPr>
          <w:rFonts w:ascii="Arial" w:eastAsia="Calibri" w:hAnsi="Arial" w:cs="Arial"/>
          <w:sz w:val="20"/>
          <w:szCs w:val="20"/>
          <w:lang w:val="en-GB"/>
        </w:rPr>
        <w:t xml:space="preserve"> was an infringement of other provisions of the Act on the Protection of Health from the Harmful Effects of Addictive Substances in a few cases.</w:t>
      </w:r>
    </w:p>
    <w:p w14:paraId="5A8148A1"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b/>
          <w:bCs/>
          <w:sz w:val="20"/>
          <w:szCs w:val="20"/>
          <w:lang w:val="en-GB"/>
        </w:rPr>
        <w:t>Breaches of Act No. 353/2003 Coll., on Excise Taxes</w:t>
      </w:r>
      <w:r w:rsidRPr="00973B7A">
        <w:rPr>
          <w:rFonts w:ascii="Arial" w:eastAsia="Calibri" w:hAnsi="Arial" w:cs="Arial"/>
          <w:sz w:val="20"/>
          <w:szCs w:val="20"/>
          <w:lang w:val="en-GB"/>
        </w:rPr>
        <w:t xml:space="preserve">, were detected </w:t>
      </w:r>
      <w:r w:rsidRPr="00973B7A">
        <w:rPr>
          <w:rFonts w:ascii="Arial" w:eastAsia="Calibri" w:hAnsi="Arial" w:cs="Arial"/>
          <w:b/>
          <w:bCs/>
          <w:sz w:val="20"/>
          <w:szCs w:val="20"/>
          <w:lang w:val="en-GB"/>
        </w:rPr>
        <w:t>in 17 cases</w:t>
      </w:r>
      <w:r w:rsidRPr="00973B7A">
        <w:rPr>
          <w:rFonts w:ascii="Arial" w:eastAsia="Calibri" w:hAnsi="Arial" w:cs="Arial"/>
          <w:sz w:val="20"/>
          <w:szCs w:val="20"/>
          <w:lang w:val="en-GB"/>
        </w:rPr>
        <w:t xml:space="preserve">. In </w:t>
      </w:r>
      <w:r w:rsidRPr="00973B7A">
        <w:rPr>
          <w:rFonts w:ascii="Arial" w:eastAsia="Calibri" w:hAnsi="Arial" w:cs="Arial"/>
          <w:b/>
          <w:bCs/>
          <w:sz w:val="20"/>
          <w:szCs w:val="20"/>
          <w:lang w:val="en-GB"/>
        </w:rPr>
        <w:t xml:space="preserve">15 cases, the breach concerned </w:t>
      </w:r>
      <w:r w:rsidRPr="00973B7A">
        <w:rPr>
          <w:rFonts w:ascii="Arial" w:eastAsia="Calibri" w:hAnsi="Arial" w:cs="Arial"/>
          <w:sz w:val="20"/>
          <w:szCs w:val="20"/>
          <w:lang w:val="en-GB"/>
        </w:rPr>
        <w:t>the provisions of</w:t>
      </w:r>
      <w:r w:rsidRPr="00973B7A">
        <w:rPr>
          <w:rFonts w:ascii="Arial" w:eastAsia="Calibri" w:hAnsi="Arial" w:cs="Arial"/>
          <w:b/>
          <w:bCs/>
          <w:sz w:val="20"/>
          <w:szCs w:val="20"/>
          <w:lang w:val="en-GB"/>
        </w:rPr>
        <w:t xml:space="preserve"> Section 114(1)</w:t>
      </w:r>
      <w:r w:rsidRPr="00973B7A">
        <w:rPr>
          <w:rFonts w:ascii="Arial" w:eastAsia="Calibri" w:hAnsi="Arial" w:cs="Arial"/>
          <w:sz w:val="20"/>
          <w:szCs w:val="20"/>
          <w:lang w:val="en-GB"/>
        </w:rPr>
        <w:t xml:space="preserve">, where the seller failed to comply with the obligation to sell tobacco products labeled with a tobacco tax stamp. </w:t>
      </w:r>
      <w:r w:rsidRPr="00973B7A">
        <w:rPr>
          <w:rFonts w:ascii="Arial" w:eastAsia="Calibri" w:hAnsi="Arial" w:cs="Arial"/>
          <w:b/>
          <w:bCs/>
          <w:sz w:val="20"/>
          <w:szCs w:val="20"/>
          <w:lang w:val="en-GB"/>
        </w:rPr>
        <w:t>In 2 cases</w:t>
      </w:r>
      <w:r w:rsidRPr="00973B7A">
        <w:rPr>
          <w:rFonts w:ascii="Arial" w:eastAsia="Calibri" w:hAnsi="Arial" w:cs="Arial"/>
          <w:sz w:val="20"/>
          <w:szCs w:val="20"/>
          <w:lang w:val="en-GB"/>
        </w:rPr>
        <w:t xml:space="preserve">, infringements of </w:t>
      </w:r>
      <w:r w:rsidRPr="00973B7A">
        <w:rPr>
          <w:rFonts w:ascii="Arial" w:eastAsia="Calibri" w:hAnsi="Arial" w:cs="Arial"/>
          <w:b/>
          <w:bCs/>
          <w:sz w:val="20"/>
          <w:szCs w:val="20"/>
          <w:lang w:val="en-GB"/>
        </w:rPr>
        <w:t>Section 107(4)</w:t>
      </w:r>
      <w:r w:rsidRPr="00973B7A">
        <w:rPr>
          <w:rFonts w:ascii="Arial" w:eastAsia="Calibri" w:hAnsi="Arial" w:cs="Arial"/>
          <w:sz w:val="20"/>
          <w:szCs w:val="20"/>
          <w:lang w:val="en-GB"/>
        </w:rPr>
        <w:t xml:space="preserve"> were also identified; this provision prohibits retailers from selling tobacco products outside of sealed unit packages with an intact tobacco tax stamp (</w:t>
      </w:r>
      <w:proofErr w:type="gramStart"/>
      <w:r w:rsidRPr="00973B7A">
        <w:rPr>
          <w:rFonts w:ascii="Arial" w:eastAsia="Calibri" w:hAnsi="Arial" w:cs="Arial"/>
          <w:sz w:val="20"/>
          <w:szCs w:val="20"/>
          <w:lang w:val="en-GB"/>
        </w:rPr>
        <w:t>with the exception of</w:t>
      </w:r>
      <w:proofErr w:type="gramEnd"/>
      <w:r w:rsidRPr="00973B7A">
        <w:rPr>
          <w:rFonts w:ascii="Arial" w:eastAsia="Calibri" w:hAnsi="Arial" w:cs="Arial"/>
          <w:sz w:val="20"/>
          <w:szCs w:val="20"/>
          <w:lang w:val="en-GB"/>
        </w:rPr>
        <w:t xml:space="preserve"> cigars and cigarillos).</w:t>
      </w:r>
    </w:p>
    <w:p w14:paraId="2CCC3BBB"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No breaches of Act No. 307/2013 Coll., on the mandatory labeling of alcohol, were detected during the period under review.</w:t>
      </w:r>
    </w:p>
    <w:p w14:paraId="321C3659"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b/>
          <w:bCs/>
          <w:sz w:val="20"/>
          <w:szCs w:val="20"/>
          <w:lang w:val="en-GB"/>
        </w:rPr>
        <w:t>Breaches of any provision of Act No. 634/1992 Coll., on Consumer Protection</w:t>
      </w:r>
      <w:r w:rsidRPr="00973B7A">
        <w:rPr>
          <w:rFonts w:ascii="Arial" w:eastAsia="Calibri" w:hAnsi="Arial" w:cs="Arial"/>
          <w:sz w:val="20"/>
          <w:szCs w:val="20"/>
          <w:lang w:val="en-GB"/>
        </w:rPr>
        <w:t xml:space="preserve">, were </w:t>
      </w:r>
      <w:r w:rsidRPr="00973B7A">
        <w:rPr>
          <w:rFonts w:ascii="Arial" w:eastAsia="Calibri" w:hAnsi="Arial" w:cs="Arial"/>
          <w:b/>
          <w:bCs/>
          <w:sz w:val="20"/>
          <w:szCs w:val="20"/>
          <w:lang w:val="en-GB"/>
        </w:rPr>
        <w:t>proven</w:t>
      </w:r>
    </w:p>
    <w:p w14:paraId="7F5DBDC2"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b/>
          <w:bCs/>
          <w:sz w:val="20"/>
          <w:szCs w:val="20"/>
          <w:lang w:val="en-GB"/>
        </w:rPr>
        <w:t>in 703 cases</w:t>
      </w:r>
      <w:r w:rsidRPr="00973B7A">
        <w:rPr>
          <w:rFonts w:ascii="Arial" w:eastAsia="Calibri" w:hAnsi="Arial" w:cs="Arial"/>
          <w:sz w:val="20"/>
          <w:szCs w:val="20"/>
          <w:lang w:val="en-GB"/>
        </w:rPr>
        <w:t xml:space="preserve">. </w:t>
      </w:r>
      <w:r w:rsidRPr="00973B7A">
        <w:rPr>
          <w:rFonts w:ascii="Arial" w:eastAsia="Calibri" w:hAnsi="Arial" w:cs="Arial"/>
          <w:b/>
          <w:bCs/>
          <w:sz w:val="20"/>
          <w:szCs w:val="20"/>
          <w:lang w:val="en-GB"/>
        </w:rPr>
        <w:t xml:space="preserve">The most common findings </w:t>
      </w:r>
      <w:r w:rsidRPr="00973B7A">
        <w:rPr>
          <w:rFonts w:ascii="Arial" w:eastAsia="Calibri" w:hAnsi="Arial" w:cs="Arial"/>
          <w:sz w:val="20"/>
          <w:szCs w:val="20"/>
          <w:lang w:val="en-GB"/>
        </w:rPr>
        <w:t xml:space="preserve">related to </w:t>
      </w:r>
      <w:r w:rsidRPr="00973B7A">
        <w:rPr>
          <w:rFonts w:ascii="Arial" w:eastAsia="Calibri" w:hAnsi="Arial" w:cs="Arial"/>
          <w:b/>
          <w:bCs/>
          <w:sz w:val="20"/>
          <w:szCs w:val="20"/>
          <w:lang w:val="en-GB"/>
        </w:rPr>
        <w:t>failure to inform consumers of the prices of offered products and provided services in accordance with Section 12</w:t>
      </w:r>
      <w:r w:rsidRPr="00973B7A">
        <w:rPr>
          <w:rFonts w:ascii="Arial" w:eastAsia="Calibri" w:hAnsi="Arial" w:cs="Arial"/>
          <w:sz w:val="20"/>
          <w:szCs w:val="20"/>
          <w:lang w:val="en-GB"/>
        </w:rPr>
        <w:t xml:space="preserve">, which </w:t>
      </w:r>
      <w:r w:rsidRPr="00973B7A">
        <w:rPr>
          <w:rFonts w:ascii="Arial" w:eastAsia="Calibri" w:hAnsi="Arial" w:cs="Arial"/>
          <w:b/>
          <w:bCs/>
          <w:sz w:val="20"/>
          <w:szCs w:val="20"/>
          <w:lang w:val="en-GB"/>
        </w:rPr>
        <w:t>was identified in 231 cases</w:t>
      </w:r>
      <w:r w:rsidRPr="00973B7A">
        <w:rPr>
          <w:rFonts w:ascii="Arial" w:eastAsia="Calibri" w:hAnsi="Arial" w:cs="Arial"/>
          <w:sz w:val="20"/>
          <w:szCs w:val="20"/>
          <w:lang w:val="en-GB"/>
        </w:rPr>
        <w:t xml:space="preserve">. Infringement </w:t>
      </w:r>
      <w:r w:rsidRPr="00973B7A">
        <w:rPr>
          <w:rFonts w:ascii="Arial" w:eastAsia="Calibri" w:hAnsi="Arial" w:cs="Arial"/>
          <w:b/>
          <w:bCs/>
          <w:sz w:val="20"/>
          <w:szCs w:val="20"/>
          <w:lang w:val="en-GB"/>
        </w:rPr>
        <w:t>of the principles of fair trading</w:t>
      </w:r>
      <w:r w:rsidRPr="00973B7A">
        <w:rPr>
          <w:rFonts w:ascii="Arial" w:eastAsia="Calibri" w:hAnsi="Arial" w:cs="Arial"/>
          <w:sz w:val="20"/>
          <w:szCs w:val="20"/>
          <w:lang w:val="en-GB"/>
        </w:rPr>
        <w:t xml:space="preserve">, within the meaning of Section 3, </w:t>
      </w:r>
      <w:r w:rsidRPr="00973B7A">
        <w:rPr>
          <w:rFonts w:ascii="Arial" w:eastAsia="Calibri" w:hAnsi="Arial" w:cs="Arial"/>
          <w:b/>
          <w:bCs/>
          <w:sz w:val="20"/>
          <w:szCs w:val="20"/>
          <w:lang w:val="en-GB"/>
        </w:rPr>
        <w:t>were identified in 215 cases</w:t>
      </w:r>
      <w:r w:rsidRPr="00973B7A">
        <w:rPr>
          <w:rFonts w:ascii="Arial" w:eastAsia="Calibri" w:hAnsi="Arial" w:cs="Arial"/>
          <w:sz w:val="20"/>
          <w:szCs w:val="20"/>
          <w:lang w:val="en-GB"/>
        </w:rPr>
        <w:t xml:space="preserve">. Failure to issue a receipt for a product, even though the consumer requested one, or issuing a receipt without the necessary details in accordance </w:t>
      </w:r>
      <w:r w:rsidRPr="00973B7A">
        <w:rPr>
          <w:rFonts w:ascii="Arial" w:eastAsia="Calibri" w:hAnsi="Arial" w:cs="Arial"/>
          <w:b/>
          <w:bCs/>
          <w:sz w:val="20"/>
          <w:szCs w:val="20"/>
          <w:lang w:val="en-GB"/>
        </w:rPr>
        <w:t>with Section 16, was identified in 136 cases</w:t>
      </w:r>
      <w:r w:rsidRPr="00973B7A">
        <w:rPr>
          <w:rFonts w:ascii="Arial" w:eastAsia="Calibri" w:hAnsi="Arial" w:cs="Arial"/>
          <w:sz w:val="20"/>
          <w:szCs w:val="20"/>
          <w:lang w:val="en-GB"/>
        </w:rPr>
        <w:t xml:space="preserve">. Additional breaches were identified </w:t>
      </w:r>
      <w:r w:rsidRPr="00973B7A">
        <w:rPr>
          <w:rFonts w:ascii="Arial" w:eastAsia="Calibri" w:hAnsi="Arial" w:cs="Arial"/>
          <w:b/>
          <w:bCs/>
          <w:sz w:val="20"/>
          <w:szCs w:val="20"/>
          <w:lang w:val="en-GB"/>
        </w:rPr>
        <w:t xml:space="preserve">in 97 cases </w:t>
      </w:r>
      <w:r w:rsidRPr="00973B7A">
        <w:rPr>
          <w:rFonts w:ascii="Arial" w:eastAsia="Calibri" w:hAnsi="Arial" w:cs="Arial"/>
          <w:sz w:val="20"/>
          <w:szCs w:val="20"/>
          <w:lang w:val="en-GB"/>
        </w:rPr>
        <w:t xml:space="preserve">under Act </w:t>
      </w:r>
      <w:r w:rsidRPr="00973B7A">
        <w:rPr>
          <w:rFonts w:ascii="Arial" w:eastAsia="Calibri" w:hAnsi="Arial" w:cs="Arial"/>
          <w:b/>
          <w:bCs/>
          <w:sz w:val="20"/>
          <w:szCs w:val="20"/>
          <w:lang w:val="en-GB"/>
        </w:rPr>
        <w:t xml:space="preserve">No. 542/2020 Coll., </w:t>
      </w:r>
      <w:r w:rsidRPr="00973B7A">
        <w:rPr>
          <w:rFonts w:ascii="Arial" w:eastAsia="Calibri" w:hAnsi="Arial" w:cs="Arial"/>
          <w:sz w:val="20"/>
          <w:szCs w:val="20"/>
          <w:lang w:val="en-GB"/>
        </w:rPr>
        <w:t xml:space="preserve">on end-of-life products, and in </w:t>
      </w:r>
      <w:r w:rsidRPr="00973B7A">
        <w:rPr>
          <w:rFonts w:ascii="Arial" w:eastAsia="Calibri" w:hAnsi="Arial" w:cs="Arial"/>
          <w:b/>
          <w:bCs/>
          <w:sz w:val="20"/>
          <w:szCs w:val="20"/>
          <w:lang w:val="en-GB"/>
        </w:rPr>
        <w:t xml:space="preserve">66 cases </w:t>
      </w:r>
      <w:r w:rsidRPr="00973B7A">
        <w:rPr>
          <w:rFonts w:ascii="Arial" w:eastAsia="Calibri" w:hAnsi="Arial" w:cs="Arial"/>
          <w:sz w:val="20"/>
          <w:szCs w:val="20"/>
          <w:lang w:val="en-GB"/>
        </w:rPr>
        <w:t xml:space="preserve">under Act </w:t>
      </w:r>
      <w:r w:rsidRPr="00973B7A">
        <w:rPr>
          <w:rFonts w:ascii="Arial" w:eastAsia="Calibri" w:hAnsi="Arial" w:cs="Arial"/>
          <w:b/>
          <w:bCs/>
          <w:sz w:val="20"/>
          <w:szCs w:val="20"/>
          <w:lang w:val="en-GB"/>
        </w:rPr>
        <w:t xml:space="preserve">No. 22/1997 Coll., </w:t>
      </w:r>
      <w:r w:rsidRPr="00973B7A">
        <w:rPr>
          <w:rFonts w:ascii="Arial" w:eastAsia="Calibri" w:hAnsi="Arial" w:cs="Arial"/>
          <w:sz w:val="20"/>
          <w:szCs w:val="20"/>
          <w:lang w:val="en-GB"/>
        </w:rPr>
        <w:t xml:space="preserve">on technical requirements for products. Breaches of other laws falling under the CTIA’s surveillance authority were identified in a total of 111 cases. In </w:t>
      </w:r>
      <w:proofErr w:type="gramStart"/>
      <w:r w:rsidRPr="00973B7A">
        <w:rPr>
          <w:rFonts w:ascii="Arial" w:eastAsia="Calibri" w:hAnsi="Arial" w:cs="Arial"/>
          <w:sz w:val="20"/>
          <w:szCs w:val="20"/>
          <w:lang w:val="en-GB"/>
        </w:rPr>
        <w:t>a number of</w:t>
      </w:r>
      <w:proofErr w:type="gramEnd"/>
      <w:r w:rsidRPr="00973B7A">
        <w:rPr>
          <w:rFonts w:ascii="Arial" w:eastAsia="Calibri" w:hAnsi="Arial" w:cs="Arial"/>
          <w:sz w:val="20"/>
          <w:szCs w:val="20"/>
          <w:lang w:val="en-GB"/>
        </w:rPr>
        <w:t xml:space="preserve"> inspections, breaches of multiple laws—or specific provisions thereof—were identified simultaneously.</w:t>
      </w:r>
    </w:p>
    <w:p w14:paraId="4A45BBFA"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Based on the identified breaches of legal regulations within the CTIA’s surveillance scope, </w:t>
      </w:r>
      <w:r w:rsidRPr="00973B7A">
        <w:rPr>
          <w:rFonts w:ascii="Arial" w:eastAsia="Calibri" w:hAnsi="Arial" w:cs="Arial"/>
          <w:b/>
          <w:bCs/>
          <w:sz w:val="20"/>
          <w:szCs w:val="20"/>
          <w:lang w:val="en-GB"/>
        </w:rPr>
        <w:t>698 fines totaling 15,439,000 CZK became final in the first quarter of 2026.</w:t>
      </w:r>
      <w:r w:rsidRPr="00973B7A">
        <w:rPr>
          <w:rFonts w:ascii="Arial" w:eastAsia="Calibri" w:hAnsi="Arial" w:cs="Arial"/>
          <w:sz w:val="20"/>
          <w:szCs w:val="20"/>
          <w:lang w:val="en-GB"/>
        </w:rPr>
        <w:t xml:space="preserve"> In some cases</w:t>
      </w:r>
    </w:p>
    <w:p w14:paraId="70495370"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these were combined fines imposed for deficiencies identified during multiple inspections at various business locations of a single seller. For breaches of obligations set forth in special legal regulations,</w:t>
      </w:r>
    </w:p>
    <w:p w14:paraId="4812E5ED"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within the framework of the inspection activity, </w:t>
      </w:r>
      <w:r w:rsidRPr="00973B7A">
        <w:rPr>
          <w:rFonts w:ascii="Arial" w:eastAsia="Calibri" w:hAnsi="Arial" w:cs="Arial"/>
          <w:b/>
          <w:bCs/>
          <w:sz w:val="20"/>
          <w:szCs w:val="20"/>
          <w:lang w:val="en-GB"/>
        </w:rPr>
        <w:t>a ban was issued on the use of 107 measuring instruments</w:t>
      </w:r>
      <w:r w:rsidRPr="00973B7A">
        <w:rPr>
          <w:rFonts w:ascii="Arial" w:eastAsia="Calibri" w:hAnsi="Arial" w:cs="Arial"/>
          <w:sz w:val="20"/>
          <w:szCs w:val="20"/>
          <w:lang w:val="en-GB"/>
        </w:rPr>
        <w:t xml:space="preserve"> that did not comply with applicable legal regulations, technical standards, other technical regulations, or the approved type, as applicable.</w:t>
      </w:r>
    </w:p>
    <w:p w14:paraId="180B80DA" w14:textId="77777777" w:rsidR="00973B7A" w:rsidRPr="00973B7A" w:rsidRDefault="00973B7A" w:rsidP="00973B7A">
      <w:pPr>
        <w:spacing w:before="100" w:beforeAutospacing="1" w:after="100" w:afterAutospacing="1"/>
        <w:outlineLvl w:val="0"/>
        <w:rPr>
          <w:rFonts w:ascii="Arial" w:eastAsia="Calibri" w:hAnsi="Arial" w:cs="Arial"/>
          <w:sz w:val="20"/>
          <w:szCs w:val="20"/>
          <w:lang w:val="en-GB"/>
        </w:rPr>
      </w:pPr>
      <w:r w:rsidRPr="00973B7A">
        <w:rPr>
          <w:rFonts w:ascii="Arial" w:eastAsia="Calibri" w:hAnsi="Arial" w:cs="Arial"/>
          <w:sz w:val="20"/>
          <w:szCs w:val="20"/>
          <w:lang w:val="en-GB"/>
        </w:rPr>
        <w:t xml:space="preserve">The results of the inspections confirmed the validity of the inspection activity, as deficiencies were found in nearly half (43.28%) of the inspections. </w:t>
      </w:r>
      <w:r w:rsidRPr="00973B7A">
        <w:rPr>
          <w:rFonts w:ascii="Arial" w:eastAsia="Calibri" w:hAnsi="Arial" w:cs="Arial"/>
          <w:b/>
          <w:bCs/>
          <w:sz w:val="20"/>
          <w:szCs w:val="20"/>
          <w:lang w:val="en-GB"/>
        </w:rPr>
        <w:t>The CTIA considers the sale or serving of alcoholic beverages to persons under the age of 18 to be the most serious finding; this was identified in 75 cases, representing 4.5% of the total 1,666 inspections carried out.</w:t>
      </w:r>
      <w:r w:rsidRPr="00973B7A">
        <w:rPr>
          <w:rFonts w:ascii="Arial" w:eastAsia="Calibri" w:hAnsi="Arial" w:cs="Arial"/>
          <w:sz w:val="20"/>
          <w:szCs w:val="20"/>
          <w:lang w:val="en-GB"/>
        </w:rPr>
        <w:t xml:space="preserve"> The CTIA will continue to focus intensively on inspection activities in this area.</w:t>
      </w:r>
    </w:p>
    <w:p w14:paraId="574CB582" w14:textId="77777777" w:rsidR="00973B7A" w:rsidRPr="00746C51" w:rsidRDefault="00973B7A" w:rsidP="000E28FA">
      <w:pPr>
        <w:spacing w:before="100" w:beforeAutospacing="1" w:after="100" w:afterAutospacing="1"/>
        <w:outlineLvl w:val="0"/>
        <w:rPr>
          <w:rFonts w:ascii="Arial" w:eastAsia="Calibri" w:hAnsi="Arial" w:cs="Arial"/>
          <w:sz w:val="20"/>
          <w:szCs w:val="20"/>
          <w:lang w:val="en-GB"/>
        </w:rPr>
      </w:pPr>
    </w:p>
    <w:sectPr w:rsidR="00973B7A" w:rsidRPr="00746C51" w:rsidSect="00663C7B">
      <w:headerReference w:type="default" r:id="rId9"/>
      <w:footerReference w:type="default" r:id="rId10"/>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76C8" w14:textId="77777777" w:rsidR="008407AD" w:rsidRDefault="008407AD" w:rsidP="00807D68">
      <w:pPr>
        <w:spacing w:after="0" w:line="240" w:lineRule="auto"/>
      </w:pPr>
      <w:r>
        <w:separator/>
      </w:r>
    </w:p>
  </w:endnote>
  <w:endnote w:type="continuationSeparator" w:id="0">
    <w:p w14:paraId="51555E27" w14:textId="77777777" w:rsidR="008407AD" w:rsidRDefault="008407AD"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7EE1" w14:textId="77777777" w:rsidR="00F045CA" w:rsidRPr="000B3C18" w:rsidRDefault="00F045CA" w:rsidP="00F045CA">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9264" behindDoc="1" locked="0" layoutInCell="1" allowOverlap="1" wp14:anchorId="7C9369C0" wp14:editId="3E4CEFF9">
              <wp:simplePos x="0" y="0"/>
              <wp:positionH relativeFrom="column">
                <wp:posOffset>3472180</wp:posOffset>
              </wp:positionH>
              <wp:positionV relativeFrom="paragraph">
                <wp:posOffset>10160</wp:posOffset>
              </wp:positionV>
              <wp:extent cx="2361564" cy="653414"/>
              <wp:effectExtent l="0" t="0" r="127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4D4D3DA4" w14:textId="77777777" w:rsidR="00F045CA" w:rsidRPr="007F2BC4" w:rsidRDefault="00F045CA" w:rsidP="00F045CA">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7C9369C0"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4D4D3DA4" w14:textId="77777777" w:rsidR="00F045CA" w:rsidRPr="007F2BC4" w:rsidRDefault="00F045CA" w:rsidP="00F045CA">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289EFBCD" wp14:editId="762EA0DD">
              <wp:simplePos x="0" y="0"/>
              <wp:positionH relativeFrom="column">
                <wp:posOffset>-109220</wp:posOffset>
              </wp:positionH>
              <wp:positionV relativeFrom="paragraph">
                <wp:posOffset>7620</wp:posOffset>
              </wp:positionV>
              <wp:extent cx="2085975" cy="1404620"/>
              <wp:effectExtent l="0" t="0" r="9525" b="952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274292BF" w14:textId="77777777" w:rsidR="00F045CA" w:rsidRPr="00DC6D14" w:rsidRDefault="00F045CA" w:rsidP="00F045CA">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89EFBCD"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274292BF" w14:textId="77777777" w:rsidR="00F045CA" w:rsidRPr="00DC6D14" w:rsidRDefault="00F045CA" w:rsidP="00F045CA">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v:textbox>
            </v:shape>
          </w:pict>
        </mc:Fallback>
      </mc:AlternateContent>
    </w:r>
  </w:p>
  <w:p w14:paraId="2E86EAD4" w14:textId="6AFA6E0B" w:rsidR="00F34A6A" w:rsidRPr="00F045CA" w:rsidRDefault="00F045CA" w:rsidP="00F045CA">
    <w:pPr>
      <w:pStyle w:val="Zpat"/>
      <w:tabs>
        <w:tab w:val="clear" w:pos="4536"/>
        <w:tab w:val="clear" w:pos="9072"/>
        <w:tab w:val="left" w:pos="8280"/>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E4E20" w14:textId="77777777" w:rsidR="008407AD" w:rsidRDefault="008407AD" w:rsidP="00807D68">
      <w:pPr>
        <w:spacing w:after="0" w:line="240" w:lineRule="auto"/>
      </w:pPr>
      <w:r>
        <w:separator/>
      </w:r>
    </w:p>
  </w:footnote>
  <w:footnote w:type="continuationSeparator" w:id="0">
    <w:p w14:paraId="0BF75870" w14:textId="77777777" w:rsidR="008407AD" w:rsidRDefault="008407AD"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7C75"/>
    <w:multiLevelType w:val="hybridMultilevel"/>
    <w:tmpl w:val="F034B6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D372A1"/>
    <w:multiLevelType w:val="hybridMultilevel"/>
    <w:tmpl w:val="F790DA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C6535B"/>
    <w:multiLevelType w:val="hybridMultilevel"/>
    <w:tmpl w:val="77067FCE"/>
    <w:lvl w:ilvl="0" w:tplc="A2E47128">
      <w:start w:val="13"/>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D535DF6"/>
    <w:multiLevelType w:val="hybridMultilevel"/>
    <w:tmpl w:val="FA3A331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0041CC2"/>
    <w:multiLevelType w:val="hybridMultilevel"/>
    <w:tmpl w:val="9ABC86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FB158A"/>
    <w:multiLevelType w:val="hybridMultilevel"/>
    <w:tmpl w:val="E362D29E"/>
    <w:lvl w:ilvl="0" w:tplc="90184EF8">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6" w15:restartNumberingAfterBreak="0">
    <w:nsid w:val="1CD43469"/>
    <w:multiLevelType w:val="hybridMultilevel"/>
    <w:tmpl w:val="79FE67E8"/>
    <w:lvl w:ilvl="0" w:tplc="CA5831C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771E44"/>
    <w:multiLevelType w:val="hybridMultilevel"/>
    <w:tmpl w:val="86C49B60"/>
    <w:lvl w:ilvl="0" w:tplc="352E771C">
      <w:start w:val="1"/>
      <w:numFmt w:val="lowerLetter"/>
      <w:lvlText w:val="%1)"/>
      <w:lvlJc w:val="left"/>
      <w:pPr>
        <w:ind w:left="345" w:hanging="360"/>
      </w:pPr>
      <w:rPr>
        <w:rFonts w:ascii="Arial" w:eastAsiaTheme="minorHAnsi" w:hAnsi="Arial" w:cs="Arial"/>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8" w15:restartNumberingAfterBreak="0">
    <w:nsid w:val="2988097F"/>
    <w:multiLevelType w:val="hybridMultilevel"/>
    <w:tmpl w:val="DF9AB0D8"/>
    <w:lvl w:ilvl="0" w:tplc="066234B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9" w15:restartNumberingAfterBreak="0">
    <w:nsid w:val="3F5A1D76"/>
    <w:multiLevelType w:val="hybridMultilevel"/>
    <w:tmpl w:val="9BCA0DBC"/>
    <w:lvl w:ilvl="0" w:tplc="66261D70">
      <w:start w:val="1"/>
      <w:numFmt w:val="bullet"/>
      <w:lvlText w:val="-"/>
      <w:lvlJc w:val="left"/>
      <w:pPr>
        <w:ind w:left="345" w:hanging="360"/>
      </w:pPr>
      <w:rPr>
        <w:rFonts w:ascii="Arial" w:eastAsiaTheme="minorHAnsi" w:hAnsi="Arial" w:cs="Arial"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10" w15:restartNumberingAfterBreak="0">
    <w:nsid w:val="3F5F551B"/>
    <w:multiLevelType w:val="hybridMultilevel"/>
    <w:tmpl w:val="861C71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6882194"/>
    <w:multiLevelType w:val="hybridMultilevel"/>
    <w:tmpl w:val="09B49B16"/>
    <w:lvl w:ilvl="0" w:tplc="3F30627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12" w15:restartNumberingAfterBreak="0">
    <w:nsid w:val="58E46094"/>
    <w:multiLevelType w:val="hybridMultilevel"/>
    <w:tmpl w:val="0666F1F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Courier New"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Courier New"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Courier New"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598E60E8"/>
    <w:multiLevelType w:val="hybridMultilevel"/>
    <w:tmpl w:val="730299F2"/>
    <w:lvl w:ilvl="0" w:tplc="43546AB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9BC2EA4"/>
    <w:multiLevelType w:val="hybridMultilevel"/>
    <w:tmpl w:val="1D1C3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004778"/>
    <w:multiLevelType w:val="hybridMultilevel"/>
    <w:tmpl w:val="F41A51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6A395D18"/>
    <w:multiLevelType w:val="hybridMultilevel"/>
    <w:tmpl w:val="C9160142"/>
    <w:lvl w:ilvl="0" w:tplc="90F21DCE">
      <w:start w:val="1"/>
      <w:numFmt w:val="lowerLetter"/>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7" w15:restartNumberingAfterBreak="0">
    <w:nsid w:val="6EE815A3"/>
    <w:multiLevelType w:val="hybridMultilevel"/>
    <w:tmpl w:val="F81CF32C"/>
    <w:lvl w:ilvl="0" w:tplc="65A26D1A">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7137565">
    <w:abstractNumId w:val="3"/>
  </w:num>
  <w:num w:numId="2" w16cid:durableId="134689101">
    <w:abstractNumId w:val="14"/>
  </w:num>
  <w:num w:numId="3" w16cid:durableId="905921746">
    <w:abstractNumId w:val="7"/>
  </w:num>
  <w:num w:numId="4" w16cid:durableId="1620867801">
    <w:abstractNumId w:val="16"/>
  </w:num>
  <w:num w:numId="5" w16cid:durableId="299193072">
    <w:abstractNumId w:val="17"/>
  </w:num>
  <w:num w:numId="6" w16cid:durableId="416251223">
    <w:abstractNumId w:val="9"/>
  </w:num>
  <w:num w:numId="7" w16cid:durableId="1268851789">
    <w:abstractNumId w:val="8"/>
  </w:num>
  <w:num w:numId="8" w16cid:durableId="376928272">
    <w:abstractNumId w:val="5"/>
  </w:num>
  <w:num w:numId="9" w16cid:durableId="1059742069">
    <w:abstractNumId w:val="11"/>
  </w:num>
  <w:num w:numId="10" w16cid:durableId="173612695">
    <w:abstractNumId w:val="6"/>
  </w:num>
  <w:num w:numId="11" w16cid:durableId="928583567">
    <w:abstractNumId w:val="12"/>
  </w:num>
  <w:num w:numId="12" w16cid:durableId="1472870216">
    <w:abstractNumId w:val="15"/>
  </w:num>
  <w:num w:numId="13" w16cid:durableId="1449666674">
    <w:abstractNumId w:val="1"/>
  </w:num>
  <w:num w:numId="14" w16cid:durableId="902983791">
    <w:abstractNumId w:val="0"/>
  </w:num>
  <w:num w:numId="15" w16cid:durableId="430707810">
    <w:abstractNumId w:val="4"/>
  </w:num>
  <w:num w:numId="16" w16cid:durableId="1625114874">
    <w:abstractNumId w:val="2"/>
  </w:num>
  <w:num w:numId="17" w16cid:durableId="932515569">
    <w:abstractNumId w:val="10"/>
  </w:num>
  <w:num w:numId="18" w16cid:durableId="14437692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7B29"/>
    <w:rsid w:val="00013D18"/>
    <w:rsid w:val="000201BC"/>
    <w:rsid w:val="00030B0D"/>
    <w:rsid w:val="00056E6A"/>
    <w:rsid w:val="000645A6"/>
    <w:rsid w:val="00071CFD"/>
    <w:rsid w:val="000741E3"/>
    <w:rsid w:val="00080F87"/>
    <w:rsid w:val="000B039B"/>
    <w:rsid w:val="000B3C18"/>
    <w:rsid w:val="000B3ECB"/>
    <w:rsid w:val="000E0A21"/>
    <w:rsid w:val="000E28FA"/>
    <w:rsid w:val="000E2C64"/>
    <w:rsid w:val="000F020A"/>
    <w:rsid w:val="00106D35"/>
    <w:rsid w:val="0010721B"/>
    <w:rsid w:val="00110DDF"/>
    <w:rsid w:val="00116EC5"/>
    <w:rsid w:val="00142850"/>
    <w:rsid w:val="00143E7B"/>
    <w:rsid w:val="001472E1"/>
    <w:rsid w:val="00152827"/>
    <w:rsid w:val="001623B1"/>
    <w:rsid w:val="00167F18"/>
    <w:rsid w:val="001725B9"/>
    <w:rsid w:val="001815FB"/>
    <w:rsid w:val="00192BDE"/>
    <w:rsid w:val="001A5542"/>
    <w:rsid w:val="001C38DE"/>
    <w:rsid w:val="001D0E07"/>
    <w:rsid w:val="001D158E"/>
    <w:rsid w:val="001D5235"/>
    <w:rsid w:val="001E04E8"/>
    <w:rsid w:val="002012CC"/>
    <w:rsid w:val="00205402"/>
    <w:rsid w:val="00217965"/>
    <w:rsid w:val="00220880"/>
    <w:rsid w:val="00225F02"/>
    <w:rsid w:val="00243AEB"/>
    <w:rsid w:val="00263FCD"/>
    <w:rsid w:val="002726E7"/>
    <w:rsid w:val="00272A2C"/>
    <w:rsid w:val="002747E8"/>
    <w:rsid w:val="002B02E9"/>
    <w:rsid w:val="002B7C92"/>
    <w:rsid w:val="002C050A"/>
    <w:rsid w:val="002C2749"/>
    <w:rsid w:val="002D51F8"/>
    <w:rsid w:val="0030473A"/>
    <w:rsid w:val="00350179"/>
    <w:rsid w:val="0035196D"/>
    <w:rsid w:val="00353F53"/>
    <w:rsid w:val="00363379"/>
    <w:rsid w:val="0037393F"/>
    <w:rsid w:val="0037728A"/>
    <w:rsid w:val="003D7E83"/>
    <w:rsid w:val="003E1F02"/>
    <w:rsid w:val="003E3B85"/>
    <w:rsid w:val="003E57CC"/>
    <w:rsid w:val="003F2528"/>
    <w:rsid w:val="003F38A9"/>
    <w:rsid w:val="003F5825"/>
    <w:rsid w:val="003F6839"/>
    <w:rsid w:val="0040156D"/>
    <w:rsid w:val="0041440B"/>
    <w:rsid w:val="00427467"/>
    <w:rsid w:val="00432A70"/>
    <w:rsid w:val="0043394F"/>
    <w:rsid w:val="0043419B"/>
    <w:rsid w:val="00442C08"/>
    <w:rsid w:val="0046373B"/>
    <w:rsid w:val="00477F73"/>
    <w:rsid w:val="00493D8C"/>
    <w:rsid w:val="00494ACB"/>
    <w:rsid w:val="0049637D"/>
    <w:rsid w:val="004B282F"/>
    <w:rsid w:val="004B524E"/>
    <w:rsid w:val="004D61C6"/>
    <w:rsid w:val="004E28F6"/>
    <w:rsid w:val="004E7DF8"/>
    <w:rsid w:val="004E7FDC"/>
    <w:rsid w:val="004F3AA9"/>
    <w:rsid w:val="00506781"/>
    <w:rsid w:val="00526090"/>
    <w:rsid w:val="005545CE"/>
    <w:rsid w:val="005702A5"/>
    <w:rsid w:val="00572CFD"/>
    <w:rsid w:val="00577B57"/>
    <w:rsid w:val="005837B9"/>
    <w:rsid w:val="005923C5"/>
    <w:rsid w:val="00592C1D"/>
    <w:rsid w:val="0059503F"/>
    <w:rsid w:val="005A0FA4"/>
    <w:rsid w:val="005A3A49"/>
    <w:rsid w:val="005B2A55"/>
    <w:rsid w:val="005C435F"/>
    <w:rsid w:val="005C5900"/>
    <w:rsid w:val="005D105B"/>
    <w:rsid w:val="005D6230"/>
    <w:rsid w:val="005E159D"/>
    <w:rsid w:val="005E3D23"/>
    <w:rsid w:val="005F776A"/>
    <w:rsid w:val="005F7EA1"/>
    <w:rsid w:val="005F7F53"/>
    <w:rsid w:val="0060731F"/>
    <w:rsid w:val="0061127C"/>
    <w:rsid w:val="00653A86"/>
    <w:rsid w:val="00656822"/>
    <w:rsid w:val="00663C7B"/>
    <w:rsid w:val="00681DA5"/>
    <w:rsid w:val="006976CC"/>
    <w:rsid w:val="006A406A"/>
    <w:rsid w:val="006B49BE"/>
    <w:rsid w:val="006B7269"/>
    <w:rsid w:val="006C77CE"/>
    <w:rsid w:val="006D2BA8"/>
    <w:rsid w:val="006D40DB"/>
    <w:rsid w:val="006D428D"/>
    <w:rsid w:val="006D4632"/>
    <w:rsid w:val="006D743D"/>
    <w:rsid w:val="006E3BFD"/>
    <w:rsid w:val="006F518A"/>
    <w:rsid w:val="006F6413"/>
    <w:rsid w:val="0070124B"/>
    <w:rsid w:val="00710775"/>
    <w:rsid w:val="0073117A"/>
    <w:rsid w:val="00735C36"/>
    <w:rsid w:val="00746C51"/>
    <w:rsid w:val="00752488"/>
    <w:rsid w:val="00755375"/>
    <w:rsid w:val="00771930"/>
    <w:rsid w:val="00775050"/>
    <w:rsid w:val="00777C82"/>
    <w:rsid w:val="00786EC8"/>
    <w:rsid w:val="007905C3"/>
    <w:rsid w:val="007B6434"/>
    <w:rsid w:val="007C3195"/>
    <w:rsid w:val="007C40CF"/>
    <w:rsid w:val="007D6665"/>
    <w:rsid w:val="007E185F"/>
    <w:rsid w:val="007E237F"/>
    <w:rsid w:val="008078D2"/>
    <w:rsid w:val="00807D68"/>
    <w:rsid w:val="0081213E"/>
    <w:rsid w:val="00832B85"/>
    <w:rsid w:val="008407AD"/>
    <w:rsid w:val="0084477F"/>
    <w:rsid w:val="00853F56"/>
    <w:rsid w:val="008632A4"/>
    <w:rsid w:val="008721F8"/>
    <w:rsid w:val="00885497"/>
    <w:rsid w:val="00890135"/>
    <w:rsid w:val="0089254F"/>
    <w:rsid w:val="00897EAA"/>
    <w:rsid w:val="008A5014"/>
    <w:rsid w:val="008C4892"/>
    <w:rsid w:val="008E0F65"/>
    <w:rsid w:val="008E7EAC"/>
    <w:rsid w:val="008F050F"/>
    <w:rsid w:val="008F22C0"/>
    <w:rsid w:val="00904CB2"/>
    <w:rsid w:val="0090767D"/>
    <w:rsid w:val="00912208"/>
    <w:rsid w:val="009145E5"/>
    <w:rsid w:val="00917CF5"/>
    <w:rsid w:val="0092177A"/>
    <w:rsid w:val="0092339C"/>
    <w:rsid w:val="009266E9"/>
    <w:rsid w:val="00955DA0"/>
    <w:rsid w:val="0097055F"/>
    <w:rsid w:val="00970F06"/>
    <w:rsid w:val="00971704"/>
    <w:rsid w:val="00972523"/>
    <w:rsid w:val="00973B7A"/>
    <w:rsid w:val="00993300"/>
    <w:rsid w:val="009C191D"/>
    <w:rsid w:val="009C71B9"/>
    <w:rsid w:val="009E32D6"/>
    <w:rsid w:val="009F2D9C"/>
    <w:rsid w:val="00A04DA8"/>
    <w:rsid w:val="00A05D3A"/>
    <w:rsid w:val="00A161BD"/>
    <w:rsid w:val="00A33274"/>
    <w:rsid w:val="00A45B33"/>
    <w:rsid w:val="00A57931"/>
    <w:rsid w:val="00A66848"/>
    <w:rsid w:val="00A81783"/>
    <w:rsid w:val="00A95A44"/>
    <w:rsid w:val="00AC2746"/>
    <w:rsid w:val="00AD2EE9"/>
    <w:rsid w:val="00AD5BED"/>
    <w:rsid w:val="00AD6ACE"/>
    <w:rsid w:val="00B033EB"/>
    <w:rsid w:val="00B058DB"/>
    <w:rsid w:val="00B12A41"/>
    <w:rsid w:val="00B1614A"/>
    <w:rsid w:val="00B205BA"/>
    <w:rsid w:val="00B20F24"/>
    <w:rsid w:val="00B210BF"/>
    <w:rsid w:val="00B31A26"/>
    <w:rsid w:val="00B40171"/>
    <w:rsid w:val="00B44F4B"/>
    <w:rsid w:val="00B50B8D"/>
    <w:rsid w:val="00B70144"/>
    <w:rsid w:val="00B97A9C"/>
    <w:rsid w:val="00BC1809"/>
    <w:rsid w:val="00BD02A1"/>
    <w:rsid w:val="00BE29F2"/>
    <w:rsid w:val="00BF45C5"/>
    <w:rsid w:val="00BF5CA1"/>
    <w:rsid w:val="00C03B41"/>
    <w:rsid w:val="00C05AC6"/>
    <w:rsid w:val="00C241B4"/>
    <w:rsid w:val="00C41758"/>
    <w:rsid w:val="00C43D14"/>
    <w:rsid w:val="00C4704F"/>
    <w:rsid w:val="00C60DF1"/>
    <w:rsid w:val="00C67BBD"/>
    <w:rsid w:val="00C73FF7"/>
    <w:rsid w:val="00C74C3A"/>
    <w:rsid w:val="00C7501F"/>
    <w:rsid w:val="00C85FB7"/>
    <w:rsid w:val="00C9178C"/>
    <w:rsid w:val="00C937E8"/>
    <w:rsid w:val="00C97D46"/>
    <w:rsid w:val="00CA3A79"/>
    <w:rsid w:val="00CA4F0B"/>
    <w:rsid w:val="00CA7461"/>
    <w:rsid w:val="00CD11D7"/>
    <w:rsid w:val="00CE40CA"/>
    <w:rsid w:val="00CF6F01"/>
    <w:rsid w:val="00D00046"/>
    <w:rsid w:val="00D100A7"/>
    <w:rsid w:val="00D1029A"/>
    <w:rsid w:val="00D2107A"/>
    <w:rsid w:val="00D230ED"/>
    <w:rsid w:val="00D31A25"/>
    <w:rsid w:val="00D329DD"/>
    <w:rsid w:val="00D33380"/>
    <w:rsid w:val="00D353B4"/>
    <w:rsid w:val="00D40E2F"/>
    <w:rsid w:val="00D646CB"/>
    <w:rsid w:val="00D66CD2"/>
    <w:rsid w:val="00D763A0"/>
    <w:rsid w:val="00D82F55"/>
    <w:rsid w:val="00D8316C"/>
    <w:rsid w:val="00D966A5"/>
    <w:rsid w:val="00DA28CC"/>
    <w:rsid w:val="00DB284A"/>
    <w:rsid w:val="00DC5B7E"/>
    <w:rsid w:val="00DD2479"/>
    <w:rsid w:val="00DE5750"/>
    <w:rsid w:val="00DE5CCE"/>
    <w:rsid w:val="00E00F5C"/>
    <w:rsid w:val="00E01D17"/>
    <w:rsid w:val="00E04797"/>
    <w:rsid w:val="00E17BF0"/>
    <w:rsid w:val="00E27FB5"/>
    <w:rsid w:val="00E44096"/>
    <w:rsid w:val="00E53779"/>
    <w:rsid w:val="00E561BC"/>
    <w:rsid w:val="00E635AA"/>
    <w:rsid w:val="00E8436F"/>
    <w:rsid w:val="00E90D9C"/>
    <w:rsid w:val="00EA1D75"/>
    <w:rsid w:val="00EA39B4"/>
    <w:rsid w:val="00ED4CDF"/>
    <w:rsid w:val="00EF36DF"/>
    <w:rsid w:val="00EF3E1F"/>
    <w:rsid w:val="00F045CA"/>
    <w:rsid w:val="00F1000C"/>
    <w:rsid w:val="00F168AF"/>
    <w:rsid w:val="00F34A6A"/>
    <w:rsid w:val="00F4039A"/>
    <w:rsid w:val="00F4644A"/>
    <w:rsid w:val="00F501E4"/>
    <w:rsid w:val="00F53C17"/>
    <w:rsid w:val="00F55D33"/>
    <w:rsid w:val="00F601DE"/>
    <w:rsid w:val="00F70689"/>
    <w:rsid w:val="00F70880"/>
    <w:rsid w:val="00FB2710"/>
    <w:rsid w:val="00FB39B8"/>
    <w:rsid w:val="00FD08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C1D"/>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F53C17"/>
    <w:pPr>
      <w:spacing w:after="200" w:line="276" w:lineRule="auto"/>
      <w:ind w:left="720"/>
      <w:contextualSpacing/>
    </w:pPr>
    <w:rPr>
      <w:rFonts w:ascii="Calibri" w:eastAsia="Calibri" w:hAnsi="Calibri" w:cs="Times New Roman"/>
    </w:rPr>
  </w:style>
  <w:style w:type="paragraph" w:styleId="Bezmezer">
    <w:name w:val="No Spacing"/>
    <w:link w:val="BezmezerChar"/>
    <w:uiPriority w:val="1"/>
    <w:qFormat/>
    <w:rsid w:val="006D428D"/>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1"/>
    <w:locked/>
    <w:rsid w:val="006D428D"/>
    <w:rPr>
      <w:rFonts w:ascii="Times New Roman" w:eastAsia="Times New Roman" w:hAnsi="Times New Roman" w:cs="Times New Roman"/>
      <w:sz w:val="24"/>
      <w:szCs w:val="24"/>
      <w:lang w:eastAsia="cs-CZ"/>
    </w:rPr>
  </w:style>
  <w:style w:type="paragraph" w:styleId="Revize">
    <w:name w:val="Revision"/>
    <w:hidden/>
    <w:uiPriority w:val="99"/>
    <w:semiHidden/>
    <w:rsid w:val="000E28FA"/>
    <w:pPr>
      <w:spacing w:after="0" w:line="240" w:lineRule="auto"/>
    </w:pPr>
  </w:style>
  <w:style w:type="character" w:styleId="Odkaznakoment">
    <w:name w:val="annotation reference"/>
    <w:basedOn w:val="Standardnpsmoodstavce"/>
    <w:uiPriority w:val="99"/>
    <w:semiHidden/>
    <w:unhideWhenUsed/>
    <w:rsid w:val="00777C82"/>
    <w:rPr>
      <w:sz w:val="16"/>
      <w:szCs w:val="16"/>
    </w:rPr>
  </w:style>
  <w:style w:type="paragraph" w:styleId="Textkomente">
    <w:name w:val="annotation text"/>
    <w:basedOn w:val="Normln"/>
    <w:link w:val="TextkomenteChar"/>
    <w:uiPriority w:val="99"/>
    <w:semiHidden/>
    <w:unhideWhenUsed/>
    <w:rsid w:val="00777C82"/>
    <w:pPr>
      <w:spacing w:line="240" w:lineRule="auto"/>
    </w:pPr>
    <w:rPr>
      <w:sz w:val="20"/>
      <w:szCs w:val="20"/>
    </w:rPr>
  </w:style>
  <w:style w:type="character" w:customStyle="1" w:styleId="TextkomenteChar">
    <w:name w:val="Text komentáře Char"/>
    <w:basedOn w:val="Standardnpsmoodstavce"/>
    <w:link w:val="Textkomente"/>
    <w:uiPriority w:val="99"/>
    <w:semiHidden/>
    <w:rsid w:val="00777C82"/>
    <w:rPr>
      <w:sz w:val="20"/>
      <w:szCs w:val="20"/>
    </w:rPr>
  </w:style>
  <w:style w:type="paragraph" w:styleId="Pedmtkomente">
    <w:name w:val="annotation subject"/>
    <w:basedOn w:val="Textkomente"/>
    <w:next w:val="Textkomente"/>
    <w:link w:val="PedmtkomenteChar"/>
    <w:uiPriority w:val="99"/>
    <w:semiHidden/>
    <w:unhideWhenUsed/>
    <w:rsid w:val="00777C82"/>
    <w:rPr>
      <w:b/>
      <w:bCs/>
    </w:rPr>
  </w:style>
  <w:style w:type="character" w:customStyle="1" w:styleId="PedmtkomenteChar">
    <w:name w:val="Předmět komentáře Char"/>
    <w:basedOn w:val="TextkomenteChar"/>
    <w:link w:val="Pedmtkomente"/>
    <w:uiPriority w:val="99"/>
    <w:semiHidden/>
    <w:rsid w:val="00777C82"/>
    <w:rPr>
      <w:b/>
      <w:bCs/>
      <w:sz w:val="20"/>
      <w:szCs w:val="20"/>
    </w:rPr>
  </w:style>
  <w:style w:type="paragraph" w:styleId="Normlnweb">
    <w:name w:val="Normal (Web)"/>
    <w:basedOn w:val="Normln"/>
    <w:uiPriority w:val="99"/>
    <w:unhideWhenUsed/>
    <w:rsid w:val="00832B8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26743">
      <w:bodyDiv w:val="1"/>
      <w:marLeft w:val="0"/>
      <w:marRight w:val="0"/>
      <w:marTop w:val="0"/>
      <w:marBottom w:val="0"/>
      <w:divBdr>
        <w:top w:val="none" w:sz="0" w:space="0" w:color="auto"/>
        <w:left w:val="none" w:sz="0" w:space="0" w:color="auto"/>
        <w:bottom w:val="none" w:sz="0" w:space="0" w:color="auto"/>
        <w:right w:val="none" w:sz="0" w:space="0" w:color="auto"/>
      </w:divBdr>
    </w:div>
    <w:div w:id="748310573">
      <w:bodyDiv w:val="1"/>
      <w:marLeft w:val="0"/>
      <w:marRight w:val="0"/>
      <w:marTop w:val="0"/>
      <w:marBottom w:val="0"/>
      <w:divBdr>
        <w:top w:val="none" w:sz="0" w:space="0" w:color="auto"/>
        <w:left w:val="none" w:sz="0" w:space="0" w:color="auto"/>
        <w:bottom w:val="none" w:sz="0" w:space="0" w:color="auto"/>
        <w:right w:val="none" w:sz="0" w:space="0" w:color="auto"/>
      </w:divBdr>
    </w:div>
    <w:div w:id="929461513">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336617369">
      <w:bodyDiv w:val="1"/>
      <w:marLeft w:val="0"/>
      <w:marRight w:val="0"/>
      <w:marTop w:val="0"/>
      <w:marBottom w:val="0"/>
      <w:divBdr>
        <w:top w:val="none" w:sz="0" w:space="0" w:color="auto"/>
        <w:left w:val="none" w:sz="0" w:space="0" w:color="auto"/>
        <w:bottom w:val="none" w:sz="0" w:space="0" w:color="auto"/>
        <w:right w:val="none" w:sz="0" w:space="0" w:color="auto"/>
      </w:divBdr>
    </w:div>
    <w:div w:id="1494761783">
      <w:bodyDiv w:val="1"/>
      <w:marLeft w:val="0"/>
      <w:marRight w:val="0"/>
      <w:marTop w:val="0"/>
      <w:marBottom w:val="0"/>
      <w:divBdr>
        <w:top w:val="none" w:sz="0" w:space="0" w:color="auto"/>
        <w:left w:val="none" w:sz="0" w:space="0" w:color="auto"/>
        <w:bottom w:val="none" w:sz="0" w:space="0" w:color="auto"/>
        <w:right w:val="none" w:sz="0" w:space="0" w:color="auto"/>
      </w:divBdr>
    </w:div>
    <w:div w:id="1562708886">
      <w:bodyDiv w:val="1"/>
      <w:marLeft w:val="0"/>
      <w:marRight w:val="0"/>
      <w:marTop w:val="0"/>
      <w:marBottom w:val="0"/>
      <w:divBdr>
        <w:top w:val="none" w:sz="0" w:space="0" w:color="auto"/>
        <w:left w:val="none" w:sz="0" w:space="0" w:color="auto"/>
        <w:bottom w:val="none" w:sz="0" w:space="0" w:color="auto"/>
        <w:right w:val="none" w:sz="0" w:space="0" w:color="auto"/>
      </w:divBdr>
    </w:div>
    <w:div w:id="203090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982</Words>
  <Characters>5800</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6</cp:revision>
  <cp:lastPrinted>2025-05-26T10:14:00Z</cp:lastPrinted>
  <dcterms:created xsi:type="dcterms:W3CDTF">2026-06-30T07:04:00Z</dcterms:created>
  <dcterms:modified xsi:type="dcterms:W3CDTF">2026-09-09T13:50:00Z</dcterms:modified>
</cp:coreProperties>
</file>