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6C458" w14:textId="4786C581" w:rsidR="003E3B85" w:rsidRPr="00970F06" w:rsidRDefault="00946832" w:rsidP="003E3B85">
      <w:pPr>
        <w:spacing w:before="240"/>
        <w:jc w:val="right"/>
        <w:rPr>
          <w:rFonts w:ascii="Arial" w:hAnsi="Arial" w:cs="Arial"/>
          <w:color w:val="2658A5"/>
          <w:sz w:val="48"/>
          <w:szCs w:val="48"/>
        </w:rPr>
      </w:pPr>
      <w:r>
        <w:rPr>
          <w:rFonts w:ascii="Arial" w:eastAsia="Calibri" w:hAnsi="Arial" w:cs="Arial"/>
          <w:b/>
          <w:bCs/>
          <w:sz w:val="20"/>
          <w:szCs w:val="20"/>
          <w:lang w:val="en-GB"/>
        </w:rPr>
        <w:drawing>
          <wp:anchor distT="0" distB="0" distL="114300" distR="114300" simplePos="0" relativeHeight="251659264" behindDoc="0" locked="0" layoutInCell="1" allowOverlap="1" wp14:anchorId="1853C1F4" wp14:editId="60446A2E">
            <wp:simplePos x="0" y="0"/>
            <wp:positionH relativeFrom="margin">
              <wp:posOffset>0</wp:posOffset>
            </wp:positionH>
            <wp:positionV relativeFrom="paragraph">
              <wp:posOffset>-635</wp:posOffset>
            </wp:positionV>
            <wp:extent cx="2695575" cy="511379"/>
            <wp:effectExtent l="0" t="0" r="0" b="3175"/>
            <wp:wrapNone/>
            <wp:docPr id="1284560963" name="Obrázek 1" descr="Obsah obrázku Písmo, Grafika, text, snímek obrazovky&#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560963" name="Obrázek 1" descr="Obsah obrázku Písmo, Grafika, text, snímek obrazovky&#10;&#10;Obsah generovaný pomocí AI může být nesprávný."/>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95575" cy="511379"/>
                    </a:xfrm>
                    <a:prstGeom prst="rect">
                      <a:avLst/>
                    </a:prstGeom>
                    <a:noFill/>
                    <a:ln>
                      <a:noFill/>
                    </a:ln>
                  </pic:spPr>
                </pic:pic>
              </a:graphicData>
            </a:graphic>
            <wp14:sizeRelH relativeFrom="page">
              <wp14:pctWidth>0</wp14:pctWidth>
            </wp14:sizeRelH>
            <wp14:sizeRelV relativeFrom="page">
              <wp14:pctHeight>0</wp14:pctHeight>
            </wp14:sizeRelV>
          </wp:anchor>
        </w:drawing>
      </w:r>
      <w:r w:rsidR="00566AE7">
        <w:rPr>
          <w:rFonts w:ascii="Arial" w:hAnsi="Arial" w:cs="Arial"/>
          <w:color w:val="2658A5"/>
          <w:sz w:val="48"/>
          <w:szCs w:val="48"/>
        </w:rPr>
        <w:t>PRESS RELEASE</w:t>
      </w:r>
    </w:p>
    <w:p w14:paraId="0022BE11" w14:textId="4FE24414" w:rsidR="003E3B85" w:rsidRDefault="003E3B85" w:rsidP="003E3B85">
      <w:pPr>
        <w:jc w:val="both"/>
        <w:rPr>
          <w:rFonts w:ascii="Montserrat" w:hAnsi="Montserrat"/>
          <w:sz w:val="20"/>
          <w:szCs w:val="20"/>
        </w:rPr>
      </w:pPr>
    </w:p>
    <w:p w14:paraId="1B592CCB" w14:textId="77777777" w:rsidR="00C44276" w:rsidRPr="00C44276" w:rsidRDefault="00C44276" w:rsidP="00C44276">
      <w:pPr>
        <w:jc w:val="both"/>
        <w:rPr>
          <w:rFonts w:ascii="Arial" w:hAnsi="Arial" w:cs="Arial"/>
          <w:b/>
          <w:bCs/>
          <w:color w:val="2658A5"/>
          <w:sz w:val="32"/>
          <w:szCs w:val="32"/>
          <w:lang w:val="en-GB"/>
        </w:rPr>
      </w:pPr>
      <w:r w:rsidRPr="00C44276">
        <w:rPr>
          <w:rFonts w:ascii="Arial" w:hAnsi="Arial" w:cs="Arial"/>
          <w:b/>
          <w:bCs/>
          <w:color w:val="2658A5"/>
          <w:sz w:val="32"/>
          <w:szCs w:val="32"/>
          <w:lang w:val="en-GB"/>
        </w:rPr>
        <w:t>Targeted inspections of online sales revealed deficiencies in eight out of ten inspections carried out in the first quarter</w:t>
      </w:r>
    </w:p>
    <w:p w14:paraId="47181D9F" w14:textId="77777777" w:rsidR="00C44276" w:rsidRPr="00C44276" w:rsidRDefault="00C44276" w:rsidP="00C44276">
      <w:pPr>
        <w:jc w:val="both"/>
        <w:rPr>
          <w:rFonts w:ascii="Arial" w:hAnsi="Arial" w:cs="Arial"/>
          <w:sz w:val="20"/>
          <w:szCs w:val="20"/>
          <w:lang w:val="en-GB"/>
        </w:rPr>
      </w:pPr>
      <w:r w:rsidRPr="00C44276">
        <w:rPr>
          <w:rFonts w:ascii="Arial" w:hAnsi="Arial" w:cs="Arial"/>
          <w:sz w:val="20"/>
          <w:szCs w:val="20"/>
          <w:lang w:val="en-GB"/>
        </w:rPr>
        <w:t>(Prague, July 15, 2026)</w:t>
      </w:r>
      <w:r w:rsidRPr="00C44276">
        <w:rPr>
          <w:rFonts w:ascii="Arial" w:hAnsi="Arial" w:cs="Arial"/>
          <w:b/>
          <w:bCs/>
          <w:sz w:val="20"/>
          <w:szCs w:val="20"/>
          <w:lang w:val="en-GB"/>
        </w:rPr>
        <w:t xml:space="preserve"> The Czech Trade Inspection Authority continued its inspection activity focused on online sales in the first quarter of this year. The inspections, carried out by all Regional Inspectorates of the CTIA, focused on sellers’ compliance with obligations under the Act on Consumer Protection, the Civil Code, and other legal regulations when selling goods online.</w:t>
      </w:r>
    </w:p>
    <w:p w14:paraId="0335273F" w14:textId="77777777" w:rsidR="00C44276" w:rsidRPr="00C44276" w:rsidRDefault="00C44276" w:rsidP="00C44276">
      <w:pPr>
        <w:jc w:val="both"/>
        <w:rPr>
          <w:rFonts w:ascii="Arial" w:hAnsi="Arial" w:cs="Arial"/>
          <w:sz w:val="20"/>
          <w:szCs w:val="20"/>
          <w:lang w:val="en-GB"/>
        </w:rPr>
      </w:pPr>
      <w:r w:rsidRPr="00C44276">
        <w:rPr>
          <w:rFonts w:ascii="Arial" w:hAnsi="Arial" w:cs="Arial"/>
          <w:sz w:val="20"/>
          <w:szCs w:val="20"/>
          <w:lang w:val="en-GB"/>
        </w:rPr>
        <w:t>Within the inspection activity, a total of 123 predominantly targeted inspections were carried out between January 1 and March 31, 2026; breaches of legal regulations were identified in 97 inspections, representing 78.86% of the total number of inspections. Online sales have long been among the most technically and time-consuming areas of the CTIA’s inspection activities, primarily due to the scope of the information being inspected. The goal of the inspections was to capture the complete content of websites and assess all information presented to consumers in connection with the offering and sale of products and services.</w:t>
      </w:r>
    </w:p>
    <w:p w14:paraId="292F3E21" w14:textId="77777777" w:rsidR="00C44276" w:rsidRPr="00C44276" w:rsidRDefault="00C44276" w:rsidP="00C44276">
      <w:pPr>
        <w:jc w:val="both"/>
        <w:rPr>
          <w:rFonts w:ascii="Arial" w:hAnsi="Arial" w:cs="Arial"/>
          <w:sz w:val="20"/>
          <w:szCs w:val="20"/>
          <w:lang w:val="en-GB"/>
        </w:rPr>
      </w:pPr>
      <w:r w:rsidRPr="00C44276">
        <w:rPr>
          <w:rFonts w:ascii="Arial" w:hAnsi="Arial" w:cs="Arial"/>
          <w:sz w:val="20"/>
          <w:szCs w:val="20"/>
          <w:lang w:val="en-GB"/>
        </w:rPr>
        <w:t xml:space="preserve">In total, </w:t>
      </w:r>
      <w:r w:rsidRPr="00C44276">
        <w:rPr>
          <w:rFonts w:ascii="Arial" w:hAnsi="Arial" w:cs="Arial"/>
          <w:b/>
          <w:bCs/>
          <w:sz w:val="20"/>
          <w:szCs w:val="20"/>
          <w:lang w:val="en-GB"/>
        </w:rPr>
        <w:t>396 cases of breaches of legal regulations</w:t>
      </w:r>
      <w:r w:rsidRPr="00C44276">
        <w:rPr>
          <w:rFonts w:ascii="Arial" w:hAnsi="Arial" w:cs="Arial"/>
          <w:sz w:val="20"/>
          <w:szCs w:val="20"/>
          <w:lang w:val="en-GB"/>
        </w:rPr>
        <w:t xml:space="preserve"> </w:t>
      </w:r>
      <w:r w:rsidRPr="00C44276">
        <w:rPr>
          <w:rFonts w:ascii="Arial" w:hAnsi="Arial" w:cs="Arial"/>
          <w:b/>
          <w:bCs/>
          <w:sz w:val="20"/>
          <w:szCs w:val="20"/>
          <w:lang w:val="en-GB"/>
        </w:rPr>
        <w:t>related to the offering and sale of products and services via means of distance communication</w:t>
      </w:r>
      <w:r w:rsidRPr="00C44276">
        <w:rPr>
          <w:rFonts w:ascii="Arial" w:hAnsi="Arial" w:cs="Arial"/>
          <w:sz w:val="20"/>
          <w:szCs w:val="20"/>
          <w:lang w:val="en-GB"/>
        </w:rPr>
        <w:t xml:space="preserve"> were identified. </w:t>
      </w:r>
      <w:r w:rsidRPr="00C44276">
        <w:rPr>
          <w:rFonts w:ascii="Arial" w:hAnsi="Arial" w:cs="Arial"/>
          <w:b/>
          <w:bCs/>
          <w:sz w:val="20"/>
          <w:szCs w:val="20"/>
          <w:lang w:val="en-GB"/>
        </w:rPr>
        <w:t>Breaches of Act No. 634/1992 Coll., on Consumer Protection, were identified in a total of 158 cases.</w:t>
      </w:r>
      <w:r w:rsidRPr="00C44276">
        <w:rPr>
          <w:rFonts w:ascii="Arial" w:hAnsi="Arial" w:cs="Arial"/>
          <w:sz w:val="20"/>
          <w:szCs w:val="20"/>
          <w:lang w:val="en-GB"/>
        </w:rPr>
        <w:t xml:space="preserve"> The largest share consisted of infringements of Section 13, which imposes an obligation on sellers to properly inform consumers about the conditions and procedure for </w:t>
      </w:r>
      <w:r w:rsidRPr="00C44276">
        <w:rPr>
          <w:rFonts w:ascii="Arial" w:hAnsi="Arial" w:cs="Arial"/>
          <w:b/>
          <w:bCs/>
          <w:sz w:val="20"/>
          <w:szCs w:val="20"/>
          <w:lang w:val="en-GB"/>
        </w:rPr>
        <w:t>exercising their rights arising from defective performance (</w:t>
      </w:r>
      <w:r w:rsidRPr="00C44276">
        <w:rPr>
          <w:rFonts w:ascii="Arial" w:hAnsi="Arial" w:cs="Arial"/>
          <w:sz w:val="20"/>
          <w:szCs w:val="20"/>
          <w:lang w:val="en-GB"/>
        </w:rPr>
        <w:t>complaints</w:t>
      </w:r>
      <w:r w:rsidRPr="00C44276">
        <w:rPr>
          <w:rFonts w:ascii="Arial" w:hAnsi="Arial" w:cs="Arial"/>
          <w:b/>
          <w:bCs/>
          <w:sz w:val="20"/>
          <w:szCs w:val="20"/>
          <w:lang w:val="en-GB"/>
        </w:rPr>
        <w:t>). This infringement was identified in 67 cases</w:t>
      </w:r>
      <w:r w:rsidRPr="00C44276">
        <w:rPr>
          <w:rFonts w:ascii="Arial" w:hAnsi="Arial" w:cs="Arial"/>
          <w:sz w:val="20"/>
          <w:szCs w:val="20"/>
          <w:lang w:val="en-GB"/>
        </w:rPr>
        <w:t xml:space="preserve">. A significant area of findings involved </w:t>
      </w:r>
      <w:r w:rsidRPr="00C44276">
        <w:rPr>
          <w:rFonts w:ascii="Arial" w:hAnsi="Arial" w:cs="Arial"/>
          <w:b/>
          <w:bCs/>
          <w:sz w:val="20"/>
          <w:szCs w:val="20"/>
          <w:lang w:val="en-GB"/>
        </w:rPr>
        <w:t>unfair commercial practices, which were identified in a total of 43 cases</w:t>
      </w:r>
      <w:r w:rsidRPr="00C44276">
        <w:rPr>
          <w:rFonts w:ascii="Arial" w:hAnsi="Arial" w:cs="Arial"/>
          <w:sz w:val="20"/>
          <w:szCs w:val="20"/>
          <w:lang w:val="en-GB"/>
        </w:rPr>
        <w:t xml:space="preserve">. In </w:t>
      </w:r>
      <w:r w:rsidRPr="00C44276">
        <w:rPr>
          <w:rFonts w:ascii="Arial" w:hAnsi="Arial" w:cs="Arial"/>
          <w:b/>
          <w:bCs/>
          <w:sz w:val="20"/>
          <w:szCs w:val="20"/>
          <w:lang w:val="en-GB"/>
        </w:rPr>
        <w:t>19 cases, the conduct was deceptive</w:t>
      </w:r>
      <w:r w:rsidRPr="00C44276">
        <w:rPr>
          <w:rFonts w:ascii="Arial" w:hAnsi="Arial" w:cs="Arial"/>
          <w:sz w:val="20"/>
          <w:szCs w:val="20"/>
          <w:lang w:val="en-GB"/>
        </w:rPr>
        <w:t xml:space="preserve"> under Section 4(4) in conjunction with Section 5(1) and (2) of the Act on Consumer Protection, where </w:t>
      </w:r>
      <w:r w:rsidRPr="00C44276">
        <w:rPr>
          <w:rFonts w:ascii="Arial" w:hAnsi="Arial" w:cs="Arial"/>
          <w:b/>
          <w:bCs/>
          <w:sz w:val="20"/>
          <w:szCs w:val="20"/>
          <w:lang w:val="en-GB"/>
        </w:rPr>
        <w:t>sellers provided false or misleading information about products, services, prices, or consumer rights.</w:t>
      </w:r>
      <w:r w:rsidRPr="00C44276">
        <w:rPr>
          <w:rFonts w:ascii="Arial" w:hAnsi="Arial" w:cs="Arial"/>
          <w:sz w:val="20"/>
          <w:szCs w:val="20"/>
          <w:lang w:val="en-GB"/>
        </w:rPr>
        <w:t xml:space="preserve"> Another </w:t>
      </w:r>
      <w:r w:rsidRPr="00C44276">
        <w:rPr>
          <w:rFonts w:ascii="Arial" w:hAnsi="Arial" w:cs="Arial"/>
          <w:b/>
          <w:bCs/>
          <w:sz w:val="20"/>
          <w:szCs w:val="20"/>
          <w:lang w:val="en-GB"/>
        </w:rPr>
        <w:t>24 cases involved deceptive omissions</w:t>
      </w:r>
      <w:r w:rsidRPr="00C44276">
        <w:rPr>
          <w:rFonts w:ascii="Arial" w:hAnsi="Arial" w:cs="Arial"/>
          <w:sz w:val="20"/>
          <w:szCs w:val="20"/>
          <w:lang w:val="en-GB"/>
        </w:rPr>
        <w:t xml:space="preserve"> under Section 4(4) in conjunction with Section 5</w:t>
      </w:r>
      <w:proofErr w:type="gramStart"/>
      <w:r w:rsidRPr="00C44276">
        <w:rPr>
          <w:rFonts w:ascii="Arial" w:hAnsi="Arial" w:cs="Arial"/>
          <w:sz w:val="20"/>
          <w:szCs w:val="20"/>
          <w:lang w:val="en-GB"/>
        </w:rPr>
        <w:t>a(</w:t>
      </w:r>
      <w:proofErr w:type="gramEnd"/>
      <w:r w:rsidRPr="00C44276">
        <w:rPr>
          <w:rFonts w:ascii="Arial" w:hAnsi="Arial" w:cs="Arial"/>
          <w:sz w:val="20"/>
          <w:szCs w:val="20"/>
          <w:lang w:val="en-GB"/>
        </w:rPr>
        <w:t xml:space="preserve">1), (2), or (5), in which businesses </w:t>
      </w:r>
      <w:r w:rsidRPr="00C44276">
        <w:rPr>
          <w:rFonts w:ascii="Arial" w:hAnsi="Arial" w:cs="Arial"/>
          <w:b/>
          <w:bCs/>
          <w:sz w:val="20"/>
          <w:szCs w:val="20"/>
          <w:lang w:val="en-GB"/>
        </w:rPr>
        <w:t>failed to provide consumers with essential information or presented it in an unclear or incomprehensible manner.</w:t>
      </w:r>
      <w:r w:rsidRPr="00C44276">
        <w:rPr>
          <w:rFonts w:ascii="Arial" w:hAnsi="Arial" w:cs="Arial"/>
          <w:sz w:val="20"/>
          <w:szCs w:val="20"/>
          <w:lang w:val="en-GB"/>
        </w:rPr>
        <w:t xml:space="preserve"> Specifically, </w:t>
      </w:r>
      <w:r w:rsidRPr="00C44276">
        <w:rPr>
          <w:rFonts w:ascii="Arial" w:hAnsi="Arial" w:cs="Arial"/>
          <w:b/>
          <w:bCs/>
          <w:sz w:val="20"/>
          <w:szCs w:val="20"/>
          <w:lang w:val="en-GB"/>
        </w:rPr>
        <w:t xml:space="preserve">16 cases </w:t>
      </w:r>
      <w:r w:rsidRPr="00C44276">
        <w:rPr>
          <w:rFonts w:ascii="Arial" w:hAnsi="Arial" w:cs="Arial"/>
          <w:sz w:val="20"/>
          <w:szCs w:val="20"/>
          <w:lang w:val="en-GB"/>
        </w:rPr>
        <w:t xml:space="preserve">involved </w:t>
      </w:r>
      <w:r w:rsidRPr="00C44276">
        <w:rPr>
          <w:rFonts w:ascii="Arial" w:hAnsi="Arial" w:cs="Arial"/>
          <w:b/>
          <w:bCs/>
          <w:sz w:val="20"/>
          <w:szCs w:val="20"/>
          <w:lang w:val="en-GB"/>
        </w:rPr>
        <w:t>insufficient information regarding the authenticity of consumer reviews</w:t>
      </w:r>
      <w:r w:rsidRPr="00C44276">
        <w:rPr>
          <w:rFonts w:ascii="Arial" w:hAnsi="Arial" w:cs="Arial"/>
          <w:sz w:val="20"/>
          <w:szCs w:val="20"/>
          <w:lang w:val="en-GB"/>
        </w:rPr>
        <w:t xml:space="preserve">. In </w:t>
      </w:r>
      <w:r w:rsidRPr="00C44276">
        <w:rPr>
          <w:rFonts w:ascii="Arial" w:hAnsi="Arial" w:cs="Arial"/>
          <w:b/>
          <w:bCs/>
          <w:sz w:val="20"/>
          <w:szCs w:val="20"/>
          <w:lang w:val="en-GB"/>
        </w:rPr>
        <w:t xml:space="preserve">20 cases, </w:t>
      </w:r>
      <w:r w:rsidRPr="00C44276">
        <w:rPr>
          <w:rFonts w:ascii="Arial" w:hAnsi="Arial" w:cs="Arial"/>
          <w:sz w:val="20"/>
          <w:szCs w:val="20"/>
          <w:lang w:val="en-GB"/>
        </w:rPr>
        <w:t xml:space="preserve">breaches of Section 14(1) of the Act on Consumer Protection were also found, where </w:t>
      </w:r>
      <w:r w:rsidRPr="00C44276">
        <w:rPr>
          <w:rFonts w:ascii="Arial" w:hAnsi="Arial" w:cs="Arial"/>
          <w:b/>
          <w:bCs/>
          <w:sz w:val="20"/>
          <w:szCs w:val="20"/>
          <w:lang w:val="en-GB"/>
        </w:rPr>
        <w:t>sellers failed to inform consumers about the possibility of out-of-court settlement of consumer disputes</w:t>
      </w:r>
      <w:r w:rsidRPr="00C44276">
        <w:rPr>
          <w:rFonts w:ascii="Arial" w:hAnsi="Arial" w:cs="Arial"/>
          <w:sz w:val="20"/>
          <w:szCs w:val="20"/>
          <w:lang w:val="en-GB"/>
        </w:rPr>
        <w:t xml:space="preserve"> (ADR).</w:t>
      </w:r>
    </w:p>
    <w:p w14:paraId="146F5235" w14:textId="77777777" w:rsidR="00C44276" w:rsidRPr="00C44276" w:rsidRDefault="00C44276" w:rsidP="00C44276">
      <w:pPr>
        <w:jc w:val="both"/>
        <w:rPr>
          <w:rFonts w:ascii="Arial" w:hAnsi="Arial" w:cs="Arial"/>
          <w:sz w:val="20"/>
          <w:szCs w:val="20"/>
          <w:lang w:val="en-GB"/>
        </w:rPr>
      </w:pPr>
      <w:r w:rsidRPr="00C44276">
        <w:rPr>
          <w:rFonts w:ascii="Arial" w:hAnsi="Arial" w:cs="Arial"/>
          <w:b/>
          <w:bCs/>
          <w:sz w:val="20"/>
          <w:szCs w:val="20"/>
          <w:lang w:val="en-GB"/>
        </w:rPr>
        <w:t>Infringements of Act No. 89/2012 Coll., the Civil Code, were identified in a total of 176 cases.</w:t>
      </w:r>
      <w:r w:rsidRPr="00C44276">
        <w:rPr>
          <w:rFonts w:ascii="Arial" w:hAnsi="Arial" w:cs="Arial"/>
          <w:sz w:val="20"/>
          <w:szCs w:val="20"/>
          <w:lang w:val="en-GB"/>
        </w:rPr>
        <w:t xml:space="preserve"> The most common infringement involved Section 1820, which </w:t>
      </w:r>
      <w:r w:rsidRPr="00C44276">
        <w:rPr>
          <w:rFonts w:ascii="Arial" w:hAnsi="Arial" w:cs="Arial"/>
          <w:b/>
          <w:bCs/>
          <w:sz w:val="20"/>
          <w:szCs w:val="20"/>
          <w:lang w:val="en-GB"/>
        </w:rPr>
        <w:t>governs a business’s duty to provide information prior to the conclusion of a distance contract. This infringement was recorded in 87 cases</w:t>
      </w:r>
      <w:r w:rsidRPr="00C44276">
        <w:rPr>
          <w:rFonts w:ascii="Arial" w:hAnsi="Arial" w:cs="Arial"/>
          <w:sz w:val="20"/>
          <w:szCs w:val="20"/>
          <w:lang w:val="en-GB"/>
        </w:rPr>
        <w:t xml:space="preserve">, with </w:t>
      </w:r>
      <w:r w:rsidRPr="00C44276">
        <w:rPr>
          <w:rFonts w:ascii="Arial" w:hAnsi="Arial" w:cs="Arial"/>
          <w:b/>
          <w:bCs/>
          <w:sz w:val="20"/>
          <w:szCs w:val="20"/>
          <w:lang w:val="en-GB"/>
        </w:rPr>
        <w:t>49 cases in which sellers failed to provide consumers with information about the option to withdraw from the contract or a model withdrawal form</w:t>
      </w:r>
      <w:r w:rsidRPr="00C44276">
        <w:rPr>
          <w:rFonts w:ascii="Arial" w:hAnsi="Arial" w:cs="Arial"/>
          <w:sz w:val="20"/>
          <w:szCs w:val="20"/>
          <w:lang w:val="en-GB"/>
        </w:rPr>
        <w:t xml:space="preserve">. In </w:t>
      </w:r>
      <w:r w:rsidRPr="00C44276">
        <w:rPr>
          <w:rFonts w:ascii="Arial" w:hAnsi="Arial" w:cs="Arial"/>
          <w:b/>
          <w:bCs/>
          <w:sz w:val="20"/>
          <w:szCs w:val="20"/>
          <w:lang w:val="en-GB"/>
        </w:rPr>
        <w:t>33 cases</w:t>
      </w:r>
      <w:r w:rsidRPr="00C44276">
        <w:rPr>
          <w:rFonts w:ascii="Arial" w:hAnsi="Arial" w:cs="Arial"/>
          <w:sz w:val="20"/>
          <w:szCs w:val="20"/>
          <w:lang w:val="en-GB"/>
        </w:rPr>
        <w:t xml:space="preserve">, Section 1827(2) of the Civil Code was infringed because consumers </w:t>
      </w:r>
      <w:r w:rsidRPr="00C44276">
        <w:rPr>
          <w:rFonts w:ascii="Arial" w:hAnsi="Arial" w:cs="Arial"/>
          <w:b/>
          <w:bCs/>
          <w:sz w:val="20"/>
          <w:szCs w:val="20"/>
          <w:lang w:val="en-GB"/>
        </w:rPr>
        <w:t>were not provided with the text of the contract and the terms and conditions in written form</w:t>
      </w:r>
      <w:r w:rsidRPr="00C44276">
        <w:rPr>
          <w:rFonts w:ascii="Arial" w:hAnsi="Arial" w:cs="Arial"/>
          <w:sz w:val="20"/>
          <w:szCs w:val="20"/>
          <w:lang w:val="en-GB"/>
        </w:rPr>
        <w:t xml:space="preserve">. In </w:t>
      </w:r>
      <w:r w:rsidRPr="00C44276">
        <w:rPr>
          <w:rFonts w:ascii="Arial" w:hAnsi="Arial" w:cs="Arial"/>
          <w:b/>
          <w:bCs/>
          <w:sz w:val="20"/>
          <w:szCs w:val="20"/>
          <w:lang w:val="en-GB"/>
        </w:rPr>
        <w:t>21 cases</w:t>
      </w:r>
      <w:r w:rsidRPr="00C44276">
        <w:rPr>
          <w:rFonts w:ascii="Arial" w:hAnsi="Arial" w:cs="Arial"/>
          <w:sz w:val="20"/>
          <w:szCs w:val="20"/>
          <w:lang w:val="en-GB"/>
        </w:rPr>
        <w:t xml:space="preserve">, </w:t>
      </w:r>
      <w:proofErr w:type="spellStart"/>
      <w:r w:rsidRPr="00C44276">
        <w:rPr>
          <w:rFonts w:ascii="Arial" w:hAnsi="Arial" w:cs="Arial"/>
          <w:sz w:val="20"/>
          <w:szCs w:val="20"/>
          <w:lang w:val="en-GB"/>
        </w:rPr>
        <w:t>a</w:t>
      </w:r>
      <w:proofErr w:type="spellEnd"/>
      <w:r w:rsidRPr="00C44276">
        <w:rPr>
          <w:rFonts w:ascii="Arial" w:hAnsi="Arial" w:cs="Arial"/>
          <w:sz w:val="20"/>
          <w:szCs w:val="20"/>
          <w:lang w:val="en-GB"/>
        </w:rPr>
        <w:t xml:space="preserve"> infringement of Section 1826</w:t>
      </w:r>
      <w:proofErr w:type="gramStart"/>
      <w:r w:rsidRPr="00C44276">
        <w:rPr>
          <w:rFonts w:ascii="Arial" w:hAnsi="Arial" w:cs="Arial"/>
          <w:sz w:val="20"/>
          <w:szCs w:val="20"/>
          <w:lang w:val="en-GB"/>
        </w:rPr>
        <w:t>a(</w:t>
      </w:r>
      <w:proofErr w:type="gramEnd"/>
      <w:r w:rsidRPr="00C44276">
        <w:rPr>
          <w:rFonts w:ascii="Arial" w:hAnsi="Arial" w:cs="Arial"/>
          <w:sz w:val="20"/>
          <w:szCs w:val="20"/>
          <w:lang w:val="en-GB"/>
        </w:rPr>
        <w:t xml:space="preserve">2) was found, which </w:t>
      </w:r>
      <w:r w:rsidRPr="00C44276">
        <w:rPr>
          <w:rFonts w:ascii="Arial" w:hAnsi="Arial" w:cs="Arial"/>
          <w:b/>
          <w:bCs/>
          <w:sz w:val="20"/>
          <w:szCs w:val="20"/>
          <w:lang w:val="en-GB"/>
        </w:rPr>
        <w:t>requires businesses to clearly inform consumers that</w:t>
      </w:r>
      <w:r w:rsidRPr="00C44276">
        <w:rPr>
          <w:rFonts w:ascii="Arial" w:hAnsi="Arial" w:cs="Arial"/>
          <w:sz w:val="20"/>
          <w:szCs w:val="20"/>
          <w:lang w:val="en-GB"/>
        </w:rPr>
        <w:t xml:space="preserve"> </w:t>
      </w:r>
      <w:r w:rsidRPr="00C44276">
        <w:rPr>
          <w:rFonts w:ascii="Arial" w:hAnsi="Arial" w:cs="Arial"/>
          <w:b/>
          <w:bCs/>
          <w:sz w:val="20"/>
          <w:szCs w:val="20"/>
          <w:lang w:val="en-GB"/>
        </w:rPr>
        <w:t>submitting an order creates an obligation to pay.</w:t>
      </w:r>
    </w:p>
    <w:p w14:paraId="0DB17A0C" w14:textId="4619503F" w:rsidR="00C44276" w:rsidRPr="00C44276" w:rsidRDefault="00C44276" w:rsidP="00C44276">
      <w:pPr>
        <w:jc w:val="both"/>
        <w:rPr>
          <w:rFonts w:ascii="Arial" w:hAnsi="Arial" w:cs="Arial"/>
          <w:sz w:val="20"/>
          <w:szCs w:val="20"/>
          <w:lang w:val="en-GB"/>
        </w:rPr>
      </w:pPr>
      <w:r w:rsidRPr="00C44276">
        <w:rPr>
          <w:rFonts w:ascii="Arial" w:hAnsi="Arial" w:cs="Arial"/>
          <w:sz w:val="20"/>
          <w:szCs w:val="20"/>
          <w:lang w:val="en-GB"/>
        </w:rPr>
        <w:t xml:space="preserve">In addition to these regulations, </w:t>
      </w:r>
      <w:r w:rsidRPr="00C44276">
        <w:rPr>
          <w:rFonts w:ascii="Arial" w:hAnsi="Arial" w:cs="Arial"/>
          <w:b/>
          <w:bCs/>
          <w:sz w:val="20"/>
          <w:szCs w:val="20"/>
          <w:lang w:val="en-GB"/>
        </w:rPr>
        <w:t>62 other cases involved breaches of other legal regulations</w:t>
      </w:r>
      <w:r w:rsidRPr="00C44276">
        <w:rPr>
          <w:rFonts w:ascii="Arial" w:hAnsi="Arial" w:cs="Arial"/>
          <w:sz w:val="20"/>
          <w:szCs w:val="20"/>
          <w:lang w:val="en-GB"/>
        </w:rPr>
        <w:t xml:space="preserve"> falling within the surveillance scope of the CTIA. The most common infringements involved Regulation (EU) 2023/988 of the European Parliament and of the Council on general product safety, the Act on Accessibility Requirements for Certain Products and Services, the Act on End-of-Life Products, and the Act on Technical Requirements for Products. The inspections also revealed breaches of the Act on Prices, the Act on Inspection, and European regulations governing the labe</w:t>
      </w:r>
      <w:r>
        <w:rPr>
          <w:rFonts w:ascii="Arial" w:hAnsi="Arial" w:cs="Arial"/>
          <w:sz w:val="20"/>
          <w:szCs w:val="20"/>
          <w:lang w:val="en-GB"/>
        </w:rPr>
        <w:t>l</w:t>
      </w:r>
      <w:r w:rsidRPr="00C44276">
        <w:rPr>
          <w:rFonts w:ascii="Arial" w:hAnsi="Arial" w:cs="Arial"/>
          <w:sz w:val="20"/>
          <w:szCs w:val="20"/>
          <w:lang w:val="en-GB"/>
        </w:rPr>
        <w:t>ling of textile products and personal protective equipment.</w:t>
      </w:r>
    </w:p>
    <w:p w14:paraId="6CA3DA13" w14:textId="77777777" w:rsidR="00C44276" w:rsidRPr="00C44276" w:rsidRDefault="00C44276" w:rsidP="00C44276">
      <w:pPr>
        <w:jc w:val="both"/>
        <w:rPr>
          <w:rFonts w:ascii="Arial" w:hAnsi="Arial" w:cs="Arial"/>
          <w:sz w:val="20"/>
          <w:szCs w:val="20"/>
          <w:lang w:val="en-GB"/>
        </w:rPr>
      </w:pPr>
      <w:r w:rsidRPr="00C44276">
        <w:rPr>
          <w:rFonts w:ascii="Arial" w:hAnsi="Arial" w:cs="Arial"/>
          <w:sz w:val="20"/>
          <w:szCs w:val="20"/>
          <w:lang w:val="en-GB"/>
        </w:rPr>
        <w:lastRenderedPageBreak/>
        <w:t xml:space="preserve">Based on the breaches of legal regulations identified within a year-long inspection activity focused on online sales, </w:t>
      </w:r>
      <w:r w:rsidRPr="00C44276">
        <w:rPr>
          <w:rFonts w:ascii="Arial" w:hAnsi="Arial" w:cs="Arial"/>
          <w:b/>
          <w:bCs/>
          <w:sz w:val="20"/>
          <w:szCs w:val="20"/>
          <w:lang w:val="en-GB"/>
        </w:rPr>
        <w:t>a total of 161 fines, amounting to 4,534,000 CZK, became final in the first quarter of this year.</w:t>
      </w:r>
      <w:r w:rsidRPr="00C44276">
        <w:rPr>
          <w:rFonts w:ascii="Arial" w:hAnsi="Arial" w:cs="Arial"/>
          <w:sz w:val="20"/>
          <w:szCs w:val="20"/>
          <w:lang w:val="en-GB"/>
        </w:rPr>
        <w:t xml:space="preserve"> The imposed sanctions primarily concerned breaches of obligations arising from the Act on Consumer Protection, the Civil Code, and other legal regulations governing online commerce.</w:t>
      </w:r>
    </w:p>
    <w:p w14:paraId="64F20230" w14:textId="77777777" w:rsidR="00C44276" w:rsidRPr="00C44276" w:rsidRDefault="00C44276" w:rsidP="00C44276">
      <w:pPr>
        <w:jc w:val="both"/>
        <w:rPr>
          <w:rFonts w:ascii="Arial" w:hAnsi="Arial" w:cs="Arial"/>
          <w:sz w:val="20"/>
          <w:szCs w:val="20"/>
          <w:lang w:val="en-GB"/>
        </w:rPr>
      </w:pPr>
      <w:r w:rsidRPr="00C44276">
        <w:rPr>
          <w:rFonts w:ascii="Arial" w:hAnsi="Arial" w:cs="Arial"/>
          <w:b/>
          <w:bCs/>
          <w:sz w:val="20"/>
          <w:szCs w:val="20"/>
          <w:lang w:val="en-GB"/>
        </w:rPr>
        <w:t>The inspection activity also newly included a review of compliance with accessibility requirements for e-commerce services under Act No. 424/2023 Coll., on accessibility requirements for certain products and services.</w:t>
      </w:r>
      <w:r w:rsidRPr="00C44276">
        <w:rPr>
          <w:rFonts w:ascii="Arial" w:hAnsi="Arial" w:cs="Arial"/>
          <w:sz w:val="20"/>
          <w:szCs w:val="20"/>
          <w:lang w:val="en-GB"/>
        </w:rPr>
        <w:t xml:space="preserve"> This law requires e-shop operators to ensure that their websites and mobile applications are accessible to people with health or functional limitations. Six infringements of Act No. 424/2023 Coll. were identified; the deficiencies found were mostly addressed by imposing corrective measures.</w:t>
      </w:r>
    </w:p>
    <w:p w14:paraId="334ACBDF" w14:textId="77777777" w:rsidR="00C44276" w:rsidRPr="00C44276" w:rsidRDefault="00C44276" w:rsidP="00C44276">
      <w:pPr>
        <w:jc w:val="both"/>
        <w:rPr>
          <w:rFonts w:ascii="Arial" w:hAnsi="Arial" w:cs="Arial"/>
          <w:sz w:val="20"/>
          <w:szCs w:val="20"/>
          <w:lang w:val="en-GB"/>
        </w:rPr>
      </w:pPr>
      <w:r w:rsidRPr="00C44276">
        <w:rPr>
          <w:rFonts w:ascii="Arial" w:hAnsi="Arial" w:cs="Arial"/>
          <w:sz w:val="20"/>
          <w:szCs w:val="20"/>
          <w:lang w:val="en-GB"/>
        </w:rPr>
        <w:t>The results of inspection activities focused on online commerce in the first quarter confirm that deficiencies in compliance with legal obligations toward consumers persist in this area. Inspections have repeatedly revealed errors, particularly in the provision of mandatory information regarding the right to withdraw from a contract, complaint procedures, and the completeness of information about goods and services offered. The identified infringements indicate that some sellers do not pay sufficient attention to the legal requirements associated with online sales, even though this is an area with a significant impact on consumer protection. At the same time, it should be emphasized that the selection of entities to be inspected is targeted. Inspections are conducted primarily based on consumer complaints, suspicions of unfair commercial practices, or findings related to the sale of dangerous products. The results of these inspections therefore cannot be generalized to the entire online marketplace; rather, they primarily highlight persistent problems among high-risk operators. Furthermore, inspections of e-shops are time-consuming and require specialized expertise, involving a comprehensive assessment of compliance with a range of legal obligations,</w:t>
      </w:r>
    </w:p>
    <w:p w14:paraId="577BFB15" w14:textId="77777777" w:rsidR="00C44276" w:rsidRPr="00C44276" w:rsidRDefault="00C44276" w:rsidP="00C44276">
      <w:pPr>
        <w:jc w:val="both"/>
        <w:rPr>
          <w:rFonts w:ascii="Arial" w:hAnsi="Arial" w:cs="Arial"/>
          <w:sz w:val="20"/>
          <w:szCs w:val="20"/>
          <w:lang w:val="en-GB"/>
        </w:rPr>
      </w:pPr>
      <w:r w:rsidRPr="00C44276">
        <w:rPr>
          <w:rFonts w:ascii="Arial" w:hAnsi="Arial" w:cs="Arial"/>
          <w:b/>
          <w:bCs/>
          <w:sz w:val="20"/>
          <w:szCs w:val="20"/>
          <w:lang w:val="en-GB"/>
        </w:rPr>
        <w:t>Sales via social media and online marketplaces can be identified as a long-standing problem area. In the case of social media, offers of goods that infringe intellectual property rights appear repeatedly, while online marketplaces present complications particularly regarding the liability of individual sellers and the transparency of contractual relationships! Consumers often lack sufficient information about whom they are entering into a contract with, which can significantly complicate the subsequent enforcement of their rights.</w:t>
      </w:r>
    </w:p>
    <w:p w14:paraId="4A5C42FF" w14:textId="77777777" w:rsidR="00C44276" w:rsidRPr="00C44276" w:rsidRDefault="00C44276" w:rsidP="00C44276">
      <w:pPr>
        <w:jc w:val="both"/>
        <w:rPr>
          <w:rFonts w:ascii="Arial" w:hAnsi="Arial" w:cs="Arial"/>
          <w:sz w:val="20"/>
          <w:szCs w:val="20"/>
          <w:lang w:val="en-GB"/>
        </w:rPr>
      </w:pPr>
      <w:r w:rsidRPr="00C44276">
        <w:rPr>
          <w:rFonts w:ascii="Arial" w:hAnsi="Arial" w:cs="Arial"/>
          <w:sz w:val="20"/>
          <w:szCs w:val="20"/>
          <w:lang w:val="en-GB"/>
        </w:rPr>
        <w:t>The findings confirm the need for systematic market surveillance of the online market, which is evolving rapidly and introducing new business models as well as new risks for consumers.</w:t>
      </w:r>
    </w:p>
    <w:p w14:paraId="5A543791" w14:textId="77777777" w:rsidR="00C44276" w:rsidRPr="00C44276" w:rsidRDefault="00C44276" w:rsidP="004100F2">
      <w:pPr>
        <w:jc w:val="both"/>
        <w:rPr>
          <w:rFonts w:ascii="Arial" w:hAnsi="Arial" w:cs="Arial"/>
          <w:sz w:val="20"/>
          <w:szCs w:val="20"/>
          <w:lang w:val="en-GB"/>
        </w:rPr>
      </w:pPr>
    </w:p>
    <w:sectPr w:rsidR="00C44276" w:rsidRPr="00C44276" w:rsidSect="00663C7B">
      <w:headerReference w:type="default" r:id="rId8"/>
      <w:footerReference w:type="default" r:id="rId9"/>
      <w:pgSz w:w="11906" w:h="16838"/>
      <w:pgMar w:top="1134" w:right="1417" w:bottom="1701" w:left="1417"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3BD1C" w14:textId="77777777" w:rsidR="0049338A" w:rsidRDefault="0049338A" w:rsidP="00807D68">
      <w:pPr>
        <w:spacing w:after="0" w:line="240" w:lineRule="auto"/>
      </w:pPr>
      <w:r>
        <w:separator/>
      </w:r>
    </w:p>
  </w:endnote>
  <w:endnote w:type="continuationSeparator" w:id="0">
    <w:p w14:paraId="740499FD" w14:textId="77777777" w:rsidR="0049338A" w:rsidRDefault="0049338A" w:rsidP="00807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EE"/>
    <w:family w:val="auto"/>
    <w:pitch w:val="variable"/>
    <w:sig w:usb0="2000020F" w:usb1="00000003" w:usb2="00000000" w:usb3="00000000" w:csb0="00000197"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164E8" w14:textId="77777777" w:rsidR="00223F0B" w:rsidRPr="000B3C18" w:rsidRDefault="00223F0B" w:rsidP="00223F0B">
    <w:pPr>
      <w:spacing w:line="276" w:lineRule="auto"/>
      <w:ind w:left="5664" w:firstLine="708"/>
      <w:rPr>
        <w:rFonts w:ascii="Arial" w:hAnsi="Arial" w:cs="Arial"/>
        <w:bCs/>
        <w:color w:val="2658A5"/>
        <w:sz w:val="18"/>
        <w:szCs w:val="18"/>
      </w:rPr>
    </w:pPr>
    <w:r w:rsidRPr="000B3C18">
      <w:rPr>
        <w:rFonts w:ascii="Arial" w:hAnsi="Arial" w:cs="Arial"/>
        <w:noProof/>
        <w:color w:val="2658A5"/>
        <w:sz w:val="18"/>
        <w:szCs w:val="18"/>
        <w:lang w:eastAsia="cs-CZ"/>
      </w:rPr>
      <mc:AlternateContent>
        <mc:Choice Requires="wps">
          <w:drawing>
            <wp:anchor distT="0" distB="0" distL="114300" distR="114300" simplePos="0" relativeHeight="251659264" behindDoc="1" locked="0" layoutInCell="1" allowOverlap="1" wp14:anchorId="3FBDEDDE" wp14:editId="745B2D25">
              <wp:simplePos x="0" y="0"/>
              <wp:positionH relativeFrom="column">
                <wp:posOffset>3472180</wp:posOffset>
              </wp:positionH>
              <wp:positionV relativeFrom="paragraph">
                <wp:posOffset>10160</wp:posOffset>
              </wp:positionV>
              <wp:extent cx="2361564" cy="653414"/>
              <wp:effectExtent l="0" t="0" r="1270" b="127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1564" cy="653414"/>
                      </a:xfrm>
                      <a:prstGeom prst="rect">
                        <a:avLst/>
                      </a:prstGeom>
                      <a:solidFill>
                        <a:srgbClr val="FFFFFF"/>
                      </a:solidFill>
                      <a:ln w="9525">
                        <a:noFill/>
                        <a:miter lim="800000"/>
                        <a:headEnd/>
                        <a:tailEnd/>
                      </a:ln>
                    </wps:spPr>
                    <wps:txbx>
                      <w:txbxContent>
                        <w:p w14:paraId="4A4952B8" w14:textId="77777777" w:rsidR="00223F0B" w:rsidRPr="007F2BC4" w:rsidRDefault="00223F0B" w:rsidP="00223F0B">
                          <w:pPr>
                            <w:jc w:val="right"/>
                            <w:rPr>
                              <w:rFonts w:ascii="Arial" w:hAnsi="Arial" w:cs="Arial"/>
                              <w:sz w:val="18"/>
                              <w:szCs w:val="18"/>
                              <w:lang w:val="fr-FR"/>
                            </w:rPr>
                          </w:pPr>
                          <w:r w:rsidRPr="007F2BC4">
                            <w:rPr>
                              <w:rFonts w:ascii="Arial" w:hAnsi="Arial" w:cs="Arial"/>
                              <w:bCs/>
                              <w:color w:val="2658A5"/>
                              <w:sz w:val="18"/>
                              <w:szCs w:val="18"/>
                              <w:lang w:val="fr-FR"/>
                            </w:rPr>
                            <w:t>Phone: +420 296 366 233</w:t>
                          </w:r>
                          <w:r w:rsidRPr="007F2BC4">
                            <w:rPr>
                              <w:rFonts w:ascii="Arial" w:hAnsi="Arial" w:cs="Arial"/>
                              <w:bCs/>
                              <w:color w:val="2658A5"/>
                              <w:sz w:val="18"/>
                              <w:szCs w:val="18"/>
                              <w:lang w:val="fr-FR"/>
                            </w:rPr>
                            <w:br/>
                            <w:t>Mobile: +420 731 553 732</w:t>
                          </w:r>
                          <w:r w:rsidRPr="007F2BC4">
                            <w:rPr>
                              <w:rFonts w:ascii="Arial" w:hAnsi="Arial" w:cs="Arial"/>
                              <w:bCs/>
                              <w:color w:val="2658A5"/>
                              <w:sz w:val="18"/>
                              <w:szCs w:val="18"/>
                              <w:lang w:val="fr-FR"/>
                            </w:rPr>
                            <w:br/>
                            <w:t>E-mail: mluvci@coi.gov.cz</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w14:anchorId="3FBDEDDE" id="_x0000_t202" coordsize="21600,21600" o:spt="202" path="m,l,21600r21600,l21600,xe">
              <v:stroke joinstyle="miter"/>
              <v:path gradientshapeok="t" o:connecttype="rect"/>
            </v:shapetype>
            <v:shape id="Textové pole 2" o:spid="_x0000_s1026" type="#_x0000_t202" style="position:absolute;left:0;text-align:left;margin-left:273.4pt;margin-top:.8pt;width:185.95pt;height:51.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" stroked="f">
              <v:textbox style="mso-fit-shape-to-text:t">
                <w:txbxContent>
                  <w:p w14:paraId="4A4952B8" w14:textId="77777777" w:rsidR="00223F0B" w:rsidRPr="007F2BC4" w:rsidRDefault="00223F0B" w:rsidP="00223F0B">
                    <w:pPr>
                      <w:jc w:val="right"/>
                      <w:rPr>
                        <w:rFonts w:ascii="Arial" w:hAnsi="Arial" w:cs="Arial"/>
                        <w:sz w:val="18"/>
                        <w:szCs w:val="18"/>
                        <w:lang w:val="fr-FR"/>
                      </w:rPr>
                    </w:pPr>
                    <w:r w:rsidRPr="007F2BC4">
                      <w:rPr>
                        <w:rFonts w:ascii="Arial" w:hAnsi="Arial" w:cs="Arial"/>
                        <w:bCs/>
                        <w:color w:val="2658A5"/>
                        <w:sz w:val="18"/>
                        <w:szCs w:val="18"/>
                        <w:lang w:val="fr-FR"/>
                      </w:rPr>
                      <w:t>Phone: +420 296 366 233</w:t>
                    </w:r>
                    <w:r w:rsidRPr="007F2BC4">
                      <w:rPr>
                        <w:rFonts w:ascii="Arial" w:hAnsi="Arial" w:cs="Arial"/>
                        <w:bCs/>
                        <w:color w:val="2658A5"/>
                        <w:sz w:val="18"/>
                        <w:szCs w:val="18"/>
                        <w:lang w:val="fr-FR"/>
                      </w:rPr>
                      <w:br/>
                      <w:t>Mobile: +420 731 553 732</w:t>
                    </w:r>
                    <w:r w:rsidRPr="007F2BC4">
                      <w:rPr>
                        <w:rFonts w:ascii="Arial" w:hAnsi="Arial" w:cs="Arial"/>
                        <w:bCs/>
                        <w:color w:val="2658A5"/>
                        <w:sz w:val="18"/>
                        <w:szCs w:val="18"/>
                        <w:lang w:val="fr-FR"/>
                      </w:rPr>
                      <w:br/>
                      <w:t>E-mail: mluvci@coi.gov.cz</w:t>
                    </w:r>
                  </w:p>
                </w:txbxContent>
              </v:textbox>
            </v:shape>
          </w:pict>
        </mc:Fallback>
      </mc:AlternateContent>
    </w:r>
    <w:r w:rsidRPr="000B3C18">
      <w:rPr>
        <w:rFonts w:ascii="Arial" w:hAnsi="Arial" w:cs="Arial"/>
        <w:noProof/>
        <w:color w:val="2658A5"/>
        <w:sz w:val="18"/>
        <w:szCs w:val="18"/>
        <w:lang w:eastAsia="cs-CZ"/>
      </w:rPr>
      <mc:AlternateContent>
        <mc:Choice Requires="wps">
          <w:drawing>
            <wp:anchor distT="0" distB="0" distL="114300" distR="114300" simplePos="0" relativeHeight="251660288" behindDoc="1" locked="0" layoutInCell="1" allowOverlap="1" wp14:anchorId="68DFD9ED" wp14:editId="6EB8521B">
              <wp:simplePos x="0" y="0"/>
              <wp:positionH relativeFrom="column">
                <wp:posOffset>-109220</wp:posOffset>
              </wp:positionH>
              <wp:positionV relativeFrom="paragraph">
                <wp:posOffset>7620</wp:posOffset>
              </wp:positionV>
              <wp:extent cx="2085975" cy="1404620"/>
              <wp:effectExtent l="0" t="0" r="9525" b="9525"/>
              <wp:wrapNone/>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404620"/>
                      </a:xfrm>
                      <a:prstGeom prst="rect">
                        <a:avLst/>
                      </a:prstGeom>
                      <a:solidFill>
                        <a:srgbClr val="FFFFFF"/>
                      </a:solidFill>
                      <a:ln w="9525">
                        <a:noFill/>
                        <a:miter lim="800000"/>
                        <a:headEnd/>
                        <a:tailEnd/>
                      </a:ln>
                    </wps:spPr>
                    <wps:txbx>
                      <w:txbxContent>
                        <w:p w14:paraId="79F74BBC" w14:textId="77777777" w:rsidR="00223F0B" w:rsidRPr="00DC6D14" w:rsidRDefault="00223F0B" w:rsidP="00223F0B">
                          <w:pPr>
                            <w:rPr>
                              <w:rFonts w:ascii="Arial" w:hAnsi="Arial" w:cs="Arial"/>
                              <w:sz w:val="18"/>
                              <w:szCs w:val="18"/>
                              <w:lang w:val="en-GB"/>
                            </w:rPr>
                          </w:pPr>
                          <w:r w:rsidRPr="00DC6D14">
                            <w:rPr>
                              <w:rFonts w:ascii="Arial" w:hAnsi="Arial" w:cs="Arial"/>
                              <w:color w:val="2658A5"/>
                              <w:sz w:val="18"/>
                              <w:szCs w:val="18"/>
                              <w:lang w:val="en-GB"/>
                            </w:rPr>
                            <w:t>Contact: Spokesperson of the CTIA</w:t>
                          </w:r>
                          <w:r w:rsidRPr="00DC6D14">
                            <w:rPr>
                              <w:rFonts w:ascii="Arial" w:hAnsi="Arial" w:cs="Arial"/>
                              <w:color w:val="2658A5"/>
                              <w:sz w:val="18"/>
                              <w:szCs w:val="18"/>
                              <w:lang w:val="en-GB"/>
                            </w:rPr>
                            <w:br/>
                            <w:t>Mgr. František Kotrba</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68DFD9ED" id="_x0000_s1027" type="#_x0000_t202" style="position:absolute;left:0;text-align:left;margin-left:-8.6pt;margin-top:.6pt;width:164.25pt;height:110.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" stroked="f">
              <v:textbox style="mso-fit-shape-to-text:t">
                <w:txbxContent>
                  <w:p w14:paraId="79F74BBC" w14:textId="77777777" w:rsidR="00223F0B" w:rsidRPr="00DC6D14" w:rsidRDefault="00223F0B" w:rsidP="00223F0B">
                    <w:pPr>
                      <w:rPr>
                        <w:rFonts w:ascii="Arial" w:hAnsi="Arial" w:cs="Arial"/>
                        <w:sz w:val="18"/>
                        <w:szCs w:val="18"/>
                        <w:lang w:val="en-GB"/>
                      </w:rPr>
                    </w:pPr>
                    <w:r w:rsidRPr="00DC6D14">
                      <w:rPr>
                        <w:rFonts w:ascii="Arial" w:hAnsi="Arial" w:cs="Arial"/>
                        <w:color w:val="2658A5"/>
                        <w:sz w:val="18"/>
                        <w:szCs w:val="18"/>
                        <w:lang w:val="en-GB"/>
                      </w:rPr>
                      <w:t>Contact: Spokesperson of the CTIA</w:t>
                    </w:r>
                    <w:r w:rsidRPr="00DC6D14">
                      <w:rPr>
                        <w:rFonts w:ascii="Arial" w:hAnsi="Arial" w:cs="Arial"/>
                        <w:color w:val="2658A5"/>
                        <w:sz w:val="18"/>
                        <w:szCs w:val="18"/>
                        <w:lang w:val="en-GB"/>
                      </w:rPr>
                      <w:br/>
                      <w:t>Mgr. František Kotrba</w:t>
                    </w:r>
                  </w:p>
                </w:txbxContent>
              </v:textbox>
            </v:shape>
          </w:pict>
        </mc:Fallback>
      </mc:AlternateContent>
    </w:r>
  </w:p>
  <w:p w14:paraId="2E86EAD4" w14:textId="27505ACF" w:rsidR="00F34A6A" w:rsidRPr="00223F0B" w:rsidRDefault="00223F0B" w:rsidP="00223F0B">
    <w:pPr>
      <w:pStyle w:val="Zpat"/>
      <w:tabs>
        <w:tab w:val="clear" w:pos="4536"/>
        <w:tab w:val="clear" w:pos="9072"/>
        <w:tab w:val="left" w:pos="8280"/>
      </w:tabs>
      <w:rPr>
        <w:rFonts w:ascii="Arial" w:hAnsi="Arial" w:cs="Arial"/>
        <w:sz w:val="20"/>
        <w:szCs w:val="20"/>
      </w:rPr>
    </w:pPr>
    <w:r>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033ED" w14:textId="77777777" w:rsidR="0049338A" w:rsidRDefault="0049338A" w:rsidP="00807D68">
      <w:pPr>
        <w:spacing w:after="0" w:line="240" w:lineRule="auto"/>
      </w:pPr>
      <w:r>
        <w:separator/>
      </w:r>
    </w:p>
  </w:footnote>
  <w:footnote w:type="continuationSeparator" w:id="0">
    <w:p w14:paraId="15070BFB" w14:textId="77777777" w:rsidR="0049338A" w:rsidRDefault="0049338A" w:rsidP="00807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FF505" w14:textId="77777777" w:rsidR="00807D68" w:rsidRDefault="00807D68">
    <w:pPr>
      <w:pStyle w:val="Zhlav"/>
    </w:pPr>
  </w:p>
  <w:p w14:paraId="03206D20" w14:textId="77777777" w:rsidR="00807D68" w:rsidRDefault="00807D68">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0CF"/>
    <w:rsid w:val="00000A26"/>
    <w:rsid w:val="00001014"/>
    <w:rsid w:val="00007B29"/>
    <w:rsid w:val="0001227F"/>
    <w:rsid w:val="000277BA"/>
    <w:rsid w:val="0004278B"/>
    <w:rsid w:val="00071B92"/>
    <w:rsid w:val="000879A3"/>
    <w:rsid w:val="000A1B72"/>
    <w:rsid w:val="000A5922"/>
    <w:rsid w:val="000B3C18"/>
    <w:rsid w:val="000B5018"/>
    <w:rsid w:val="000E777C"/>
    <w:rsid w:val="001061EA"/>
    <w:rsid w:val="00110DDF"/>
    <w:rsid w:val="0012546B"/>
    <w:rsid w:val="00161E69"/>
    <w:rsid w:val="00186894"/>
    <w:rsid w:val="001B2865"/>
    <w:rsid w:val="001B5AC0"/>
    <w:rsid w:val="001C2A8A"/>
    <w:rsid w:val="001D0E07"/>
    <w:rsid w:val="00204B4E"/>
    <w:rsid w:val="0020748A"/>
    <w:rsid w:val="00223F0B"/>
    <w:rsid w:val="00262DC5"/>
    <w:rsid w:val="00272392"/>
    <w:rsid w:val="002A1B12"/>
    <w:rsid w:val="002C6F0D"/>
    <w:rsid w:val="002D2D0E"/>
    <w:rsid w:val="002E3349"/>
    <w:rsid w:val="00306C59"/>
    <w:rsid w:val="00316FCD"/>
    <w:rsid w:val="00350179"/>
    <w:rsid w:val="003550DC"/>
    <w:rsid w:val="00361C2C"/>
    <w:rsid w:val="00370AE7"/>
    <w:rsid w:val="00383750"/>
    <w:rsid w:val="003876CE"/>
    <w:rsid w:val="00393BA9"/>
    <w:rsid w:val="003B46D7"/>
    <w:rsid w:val="003D26E7"/>
    <w:rsid w:val="003E3B85"/>
    <w:rsid w:val="0040281D"/>
    <w:rsid w:val="004100F2"/>
    <w:rsid w:val="00425DCF"/>
    <w:rsid w:val="004269AD"/>
    <w:rsid w:val="00434E30"/>
    <w:rsid w:val="00452607"/>
    <w:rsid w:val="00462273"/>
    <w:rsid w:val="0046373B"/>
    <w:rsid w:val="004734BA"/>
    <w:rsid w:val="00491B07"/>
    <w:rsid w:val="0049338A"/>
    <w:rsid w:val="00494ACB"/>
    <w:rsid w:val="004A0FA9"/>
    <w:rsid w:val="004C0BDB"/>
    <w:rsid w:val="004D116F"/>
    <w:rsid w:val="004E1767"/>
    <w:rsid w:val="004F6657"/>
    <w:rsid w:val="00517C87"/>
    <w:rsid w:val="005438D9"/>
    <w:rsid w:val="00566AE7"/>
    <w:rsid w:val="00586F67"/>
    <w:rsid w:val="005A3A49"/>
    <w:rsid w:val="005A4C5C"/>
    <w:rsid w:val="005F776A"/>
    <w:rsid w:val="00616E2B"/>
    <w:rsid w:val="00663C7B"/>
    <w:rsid w:val="00674F24"/>
    <w:rsid w:val="00680A44"/>
    <w:rsid w:val="006B08B4"/>
    <w:rsid w:val="006B49BE"/>
    <w:rsid w:val="006D74C9"/>
    <w:rsid w:val="006F6E8B"/>
    <w:rsid w:val="00716C97"/>
    <w:rsid w:val="00735C36"/>
    <w:rsid w:val="00736907"/>
    <w:rsid w:val="00740316"/>
    <w:rsid w:val="00744AD4"/>
    <w:rsid w:val="00760CBD"/>
    <w:rsid w:val="00771D49"/>
    <w:rsid w:val="00774306"/>
    <w:rsid w:val="00784580"/>
    <w:rsid w:val="00786DEC"/>
    <w:rsid w:val="007962E9"/>
    <w:rsid w:val="007A79F2"/>
    <w:rsid w:val="007C40CF"/>
    <w:rsid w:val="007F2E4A"/>
    <w:rsid w:val="00807D68"/>
    <w:rsid w:val="008144CB"/>
    <w:rsid w:val="00854B6A"/>
    <w:rsid w:val="00884D60"/>
    <w:rsid w:val="00886D5C"/>
    <w:rsid w:val="008B30D2"/>
    <w:rsid w:val="008B31B0"/>
    <w:rsid w:val="008B609A"/>
    <w:rsid w:val="009000D1"/>
    <w:rsid w:val="00901118"/>
    <w:rsid w:val="00906331"/>
    <w:rsid w:val="0090767D"/>
    <w:rsid w:val="00923985"/>
    <w:rsid w:val="00936FA8"/>
    <w:rsid w:val="00946832"/>
    <w:rsid w:val="00955DA0"/>
    <w:rsid w:val="00970F06"/>
    <w:rsid w:val="009B7BA5"/>
    <w:rsid w:val="00A411E1"/>
    <w:rsid w:val="00A44B63"/>
    <w:rsid w:val="00A53686"/>
    <w:rsid w:val="00A57931"/>
    <w:rsid w:val="00A77801"/>
    <w:rsid w:val="00A83633"/>
    <w:rsid w:val="00A914FB"/>
    <w:rsid w:val="00AA2160"/>
    <w:rsid w:val="00AA6696"/>
    <w:rsid w:val="00AB1213"/>
    <w:rsid w:val="00B44F4B"/>
    <w:rsid w:val="00B507E0"/>
    <w:rsid w:val="00B55CC6"/>
    <w:rsid w:val="00B96A99"/>
    <w:rsid w:val="00BA7ED3"/>
    <w:rsid w:val="00BB03AA"/>
    <w:rsid w:val="00BD6DED"/>
    <w:rsid w:val="00C031CB"/>
    <w:rsid w:val="00C33158"/>
    <w:rsid w:val="00C44276"/>
    <w:rsid w:val="00C44506"/>
    <w:rsid w:val="00C5569F"/>
    <w:rsid w:val="00C56875"/>
    <w:rsid w:val="00C77654"/>
    <w:rsid w:val="00C77D64"/>
    <w:rsid w:val="00C97D46"/>
    <w:rsid w:val="00CD2A62"/>
    <w:rsid w:val="00D00046"/>
    <w:rsid w:val="00D01777"/>
    <w:rsid w:val="00D100A7"/>
    <w:rsid w:val="00D5262A"/>
    <w:rsid w:val="00D617B1"/>
    <w:rsid w:val="00D66CD2"/>
    <w:rsid w:val="00D763A0"/>
    <w:rsid w:val="00D90F72"/>
    <w:rsid w:val="00D9700A"/>
    <w:rsid w:val="00DC5B7E"/>
    <w:rsid w:val="00DD5B23"/>
    <w:rsid w:val="00DE0598"/>
    <w:rsid w:val="00DE2312"/>
    <w:rsid w:val="00E10F7F"/>
    <w:rsid w:val="00E50E4E"/>
    <w:rsid w:val="00E641FF"/>
    <w:rsid w:val="00ED2909"/>
    <w:rsid w:val="00ED4CDF"/>
    <w:rsid w:val="00EE0583"/>
    <w:rsid w:val="00EE2CE1"/>
    <w:rsid w:val="00EF05C6"/>
    <w:rsid w:val="00F004D4"/>
    <w:rsid w:val="00F12962"/>
    <w:rsid w:val="00F168AF"/>
    <w:rsid w:val="00F31FA1"/>
    <w:rsid w:val="00F34A6A"/>
    <w:rsid w:val="00F4039A"/>
    <w:rsid w:val="00F45592"/>
    <w:rsid w:val="00F5406C"/>
    <w:rsid w:val="00F55D33"/>
    <w:rsid w:val="00FA28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B64AC"/>
  <w15:chartTrackingRefBased/>
  <w15:docId w15:val="{A6B7E4F7-B832-45EB-B1F5-D1FAA85CE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07D6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07D68"/>
  </w:style>
  <w:style w:type="paragraph" w:styleId="Zpat">
    <w:name w:val="footer"/>
    <w:basedOn w:val="Normln"/>
    <w:link w:val="ZpatChar"/>
    <w:uiPriority w:val="99"/>
    <w:unhideWhenUsed/>
    <w:rsid w:val="00807D68"/>
    <w:pPr>
      <w:tabs>
        <w:tab w:val="center" w:pos="4536"/>
        <w:tab w:val="right" w:pos="9072"/>
      </w:tabs>
      <w:spacing w:after="0" w:line="240" w:lineRule="auto"/>
    </w:pPr>
  </w:style>
  <w:style w:type="character" w:customStyle="1" w:styleId="ZpatChar">
    <w:name w:val="Zápatí Char"/>
    <w:basedOn w:val="Standardnpsmoodstavce"/>
    <w:link w:val="Zpat"/>
    <w:uiPriority w:val="99"/>
    <w:rsid w:val="00807D68"/>
  </w:style>
  <w:style w:type="table" w:styleId="Mkatabulky">
    <w:name w:val="Table Grid"/>
    <w:basedOn w:val="Normlntabulka"/>
    <w:uiPriority w:val="39"/>
    <w:rsid w:val="00B44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D01777"/>
    <w:pPr>
      <w:spacing w:after="0" w:line="240" w:lineRule="auto"/>
    </w:pPr>
  </w:style>
  <w:style w:type="character" w:styleId="Odkaznakoment">
    <w:name w:val="annotation reference"/>
    <w:basedOn w:val="Standardnpsmoodstavce"/>
    <w:uiPriority w:val="99"/>
    <w:semiHidden/>
    <w:unhideWhenUsed/>
    <w:rsid w:val="005A4C5C"/>
    <w:rPr>
      <w:sz w:val="16"/>
      <w:szCs w:val="16"/>
    </w:rPr>
  </w:style>
  <w:style w:type="paragraph" w:styleId="Textkomente">
    <w:name w:val="annotation text"/>
    <w:basedOn w:val="Normln"/>
    <w:link w:val="TextkomenteChar"/>
    <w:uiPriority w:val="99"/>
    <w:unhideWhenUsed/>
    <w:rsid w:val="005A4C5C"/>
    <w:pPr>
      <w:spacing w:line="240" w:lineRule="auto"/>
    </w:pPr>
    <w:rPr>
      <w:sz w:val="20"/>
      <w:szCs w:val="20"/>
    </w:rPr>
  </w:style>
  <w:style w:type="character" w:customStyle="1" w:styleId="TextkomenteChar">
    <w:name w:val="Text komentáře Char"/>
    <w:basedOn w:val="Standardnpsmoodstavce"/>
    <w:link w:val="Textkomente"/>
    <w:uiPriority w:val="99"/>
    <w:rsid w:val="005A4C5C"/>
    <w:rPr>
      <w:sz w:val="20"/>
      <w:szCs w:val="20"/>
    </w:rPr>
  </w:style>
  <w:style w:type="paragraph" w:styleId="Pedmtkomente">
    <w:name w:val="annotation subject"/>
    <w:basedOn w:val="Textkomente"/>
    <w:next w:val="Textkomente"/>
    <w:link w:val="PedmtkomenteChar"/>
    <w:uiPriority w:val="99"/>
    <w:semiHidden/>
    <w:unhideWhenUsed/>
    <w:rsid w:val="005A4C5C"/>
    <w:rPr>
      <w:b/>
      <w:bCs/>
    </w:rPr>
  </w:style>
  <w:style w:type="character" w:customStyle="1" w:styleId="PedmtkomenteChar">
    <w:name w:val="Předmět komentáře Char"/>
    <w:basedOn w:val="TextkomenteChar"/>
    <w:link w:val="Pedmtkomente"/>
    <w:uiPriority w:val="99"/>
    <w:semiHidden/>
    <w:rsid w:val="005A4C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742298">
      <w:bodyDiv w:val="1"/>
      <w:marLeft w:val="0"/>
      <w:marRight w:val="0"/>
      <w:marTop w:val="0"/>
      <w:marBottom w:val="0"/>
      <w:divBdr>
        <w:top w:val="none" w:sz="0" w:space="0" w:color="auto"/>
        <w:left w:val="none" w:sz="0" w:space="0" w:color="auto"/>
        <w:bottom w:val="none" w:sz="0" w:space="0" w:color="auto"/>
        <w:right w:val="none" w:sz="0" w:space="0" w:color="auto"/>
      </w:divBdr>
    </w:div>
    <w:div w:id="530799502">
      <w:bodyDiv w:val="1"/>
      <w:marLeft w:val="0"/>
      <w:marRight w:val="0"/>
      <w:marTop w:val="0"/>
      <w:marBottom w:val="0"/>
      <w:divBdr>
        <w:top w:val="none" w:sz="0" w:space="0" w:color="auto"/>
        <w:left w:val="none" w:sz="0" w:space="0" w:color="auto"/>
        <w:bottom w:val="none" w:sz="0" w:space="0" w:color="auto"/>
        <w:right w:val="none" w:sz="0" w:space="0" w:color="auto"/>
      </w:divBdr>
    </w:div>
    <w:div w:id="598680868">
      <w:bodyDiv w:val="1"/>
      <w:marLeft w:val="0"/>
      <w:marRight w:val="0"/>
      <w:marTop w:val="0"/>
      <w:marBottom w:val="0"/>
      <w:divBdr>
        <w:top w:val="none" w:sz="0" w:space="0" w:color="auto"/>
        <w:left w:val="none" w:sz="0" w:space="0" w:color="auto"/>
        <w:bottom w:val="none" w:sz="0" w:space="0" w:color="auto"/>
        <w:right w:val="none" w:sz="0" w:space="0" w:color="auto"/>
      </w:divBdr>
    </w:div>
    <w:div w:id="882912101">
      <w:bodyDiv w:val="1"/>
      <w:marLeft w:val="0"/>
      <w:marRight w:val="0"/>
      <w:marTop w:val="0"/>
      <w:marBottom w:val="0"/>
      <w:divBdr>
        <w:top w:val="none" w:sz="0" w:space="0" w:color="auto"/>
        <w:left w:val="none" w:sz="0" w:space="0" w:color="auto"/>
        <w:bottom w:val="none" w:sz="0" w:space="0" w:color="auto"/>
        <w:right w:val="none" w:sz="0" w:space="0" w:color="auto"/>
      </w:divBdr>
    </w:div>
    <w:div w:id="1018894118">
      <w:bodyDiv w:val="1"/>
      <w:marLeft w:val="0"/>
      <w:marRight w:val="0"/>
      <w:marTop w:val="0"/>
      <w:marBottom w:val="0"/>
      <w:divBdr>
        <w:top w:val="none" w:sz="0" w:space="0" w:color="auto"/>
        <w:left w:val="none" w:sz="0" w:space="0" w:color="auto"/>
        <w:bottom w:val="none" w:sz="0" w:space="0" w:color="auto"/>
        <w:right w:val="none" w:sz="0" w:space="0" w:color="auto"/>
      </w:divBdr>
    </w:div>
    <w:div w:id="1038702167">
      <w:bodyDiv w:val="1"/>
      <w:marLeft w:val="0"/>
      <w:marRight w:val="0"/>
      <w:marTop w:val="0"/>
      <w:marBottom w:val="0"/>
      <w:divBdr>
        <w:top w:val="none" w:sz="0" w:space="0" w:color="auto"/>
        <w:left w:val="none" w:sz="0" w:space="0" w:color="auto"/>
        <w:bottom w:val="none" w:sz="0" w:space="0" w:color="auto"/>
        <w:right w:val="none" w:sz="0" w:space="0" w:color="auto"/>
      </w:divBdr>
    </w:div>
    <w:div w:id="1262185003">
      <w:bodyDiv w:val="1"/>
      <w:marLeft w:val="0"/>
      <w:marRight w:val="0"/>
      <w:marTop w:val="0"/>
      <w:marBottom w:val="0"/>
      <w:divBdr>
        <w:top w:val="none" w:sz="0" w:space="0" w:color="auto"/>
        <w:left w:val="none" w:sz="0" w:space="0" w:color="auto"/>
        <w:bottom w:val="none" w:sz="0" w:space="0" w:color="auto"/>
        <w:right w:val="none" w:sz="0" w:space="0" w:color="auto"/>
      </w:divBdr>
    </w:div>
    <w:div w:id="1268193834">
      <w:bodyDiv w:val="1"/>
      <w:marLeft w:val="0"/>
      <w:marRight w:val="0"/>
      <w:marTop w:val="0"/>
      <w:marBottom w:val="0"/>
      <w:divBdr>
        <w:top w:val="none" w:sz="0" w:space="0" w:color="auto"/>
        <w:left w:val="none" w:sz="0" w:space="0" w:color="auto"/>
        <w:bottom w:val="none" w:sz="0" w:space="0" w:color="auto"/>
        <w:right w:val="none" w:sz="0" w:space="0" w:color="auto"/>
      </w:divBdr>
    </w:div>
    <w:div w:id="1491366072">
      <w:bodyDiv w:val="1"/>
      <w:marLeft w:val="0"/>
      <w:marRight w:val="0"/>
      <w:marTop w:val="0"/>
      <w:marBottom w:val="0"/>
      <w:divBdr>
        <w:top w:val="none" w:sz="0" w:space="0" w:color="auto"/>
        <w:left w:val="none" w:sz="0" w:space="0" w:color="auto"/>
        <w:bottom w:val="none" w:sz="0" w:space="0" w:color="auto"/>
        <w:right w:val="none" w:sz="0" w:space="0" w:color="auto"/>
      </w:divBdr>
      <w:divsChild>
        <w:div w:id="1256134273">
          <w:marLeft w:val="0"/>
          <w:marRight w:val="0"/>
          <w:marTop w:val="0"/>
          <w:marBottom w:val="0"/>
          <w:divBdr>
            <w:top w:val="none" w:sz="0" w:space="0" w:color="auto"/>
            <w:left w:val="none" w:sz="0" w:space="0" w:color="auto"/>
            <w:bottom w:val="none" w:sz="0" w:space="0" w:color="auto"/>
            <w:right w:val="none" w:sz="0" w:space="0" w:color="auto"/>
          </w:divBdr>
          <w:divsChild>
            <w:div w:id="875121865">
              <w:marLeft w:val="0"/>
              <w:marRight w:val="0"/>
              <w:marTop w:val="0"/>
              <w:marBottom w:val="0"/>
              <w:divBdr>
                <w:top w:val="none" w:sz="0" w:space="0" w:color="auto"/>
                <w:left w:val="none" w:sz="0" w:space="0" w:color="auto"/>
                <w:bottom w:val="none" w:sz="0" w:space="0" w:color="auto"/>
                <w:right w:val="none" w:sz="0" w:space="0" w:color="auto"/>
              </w:divBdr>
              <w:divsChild>
                <w:div w:id="1628774830">
                  <w:marLeft w:val="0"/>
                  <w:marRight w:val="0"/>
                  <w:marTop w:val="0"/>
                  <w:marBottom w:val="0"/>
                  <w:divBdr>
                    <w:top w:val="none" w:sz="0" w:space="0" w:color="auto"/>
                    <w:left w:val="none" w:sz="0" w:space="0" w:color="auto"/>
                    <w:bottom w:val="none" w:sz="0" w:space="0" w:color="auto"/>
                    <w:right w:val="none" w:sz="0" w:space="0" w:color="auto"/>
                  </w:divBdr>
                  <w:divsChild>
                    <w:div w:id="1305817054">
                      <w:marLeft w:val="0"/>
                      <w:marRight w:val="0"/>
                      <w:marTop w:val="0"/>
                      <w:marBottom w:val="0"/>
                      <w:divBdr>
                        <w:top w:val="none" w:sz="0" w:space="0" w:color="auto"/>
                        <w:left w:val="none" w:sz="0" w:space="0" w:color="auto"/>
                        <w:bottom w:val="none" w:sz="0" w:space="0" w:color="auto"/>
                        <w:right w:val="none" w:sz="0" w:space="0" w:color="auto"/>
                      </w:divBdr>
                      <w:divsChild>
                        <w:div w:id="1585602665">
                          <w:marLeft w:val="0"/>
                          <w:marRight w:val="0"/>
                          <w:marTop w:val="0"/>
                          <w:marBottom w:val="0"/>
                          <w:divBdr>
                            <w:top w:val="none" w:sz="0" w:space="0" w:color="auto"/>
                            <w:left w:val="none" w:sz="0" w:space="0" w:color="auto"/>
                            <w:bottom w:val="none" w:sz="0" w:space="0" w:color="auto"/>
                            <w:right w:val="none" w:sz="0" w:space="0" w:color="auto"/>
                          </w:divBdr>
                          <w:divsChild>
                            <w:div w:id="6514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099905">
      <w:bodyDiv w:val="1"/>
      <w:marLeft w:val="0"/>
      <w:marRight w:val="0"/>
      <w:marTop w:val="0"/>
      <w:marBottom w:val="0"/>
      <w:divBdr>
        <w:top w:val="none" w:sz="0" w:space="0" w:color="auto"/>
        <w:left w:val="none" w:sz="0" w:space="0" w:color="auto"/>
        <w:bottom w:val="none" w:sz="0" w:space="0" w:color="auto"/>
        <w:right w:val="none" w:sz="0" w:space="0" w:color="auto"/>
      </w:divBdr>
    </w:div>
    <w:div w:id="1870414162">
      <w:bodyDiv w:val="1"/>
      <w:marLeft w:val="0"/>
      <w:marRight w:val="0"/>
      <w:marTop w:val="0"/>
      <w:marBottom w:val="0"/>
      <w:divBdr>
        <w:top w:val="none" w:sz="0" w:space="0" w:color="auto"/>
        <w:left w:val="none" w:sz="0" w:space="0" w:color="auto"/>
        <w:bottom w:val="none" w:sz="0" w:space="0" w:color="auto"/>
        <w:right w:val="none" w:sz="0" w:space="0" w:color="auto"/>
      </w:divBdr>
    </w:div>
    <w:div w:id="1883132555">
      <w:bodyDiv w:val="1"/>
      <w:marLeft w:val="0"/>
      <w:marRight w:val="0"/>
      <w:marTop w:val="0"/>
      <w:marBottom w:val="0"/>
      <w:divBdr>
        <w:top w:val="none" w:sz="0" w:space="0" w:color="auto"/>
        <w:left w:val="none" w:sz="0" w:space="0" w:color="auto"/>
        <w:bottom w:val="none" w:sz="0" w:space="0" w:color="auto"/>
        <w:right w:val="none" w:sz="0" w:space="0" w:color="auto"/>
      </w:divBdr>
    </w:div>
    <w:div w:id="1884947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1FEE7-98A3-4788-B967-47E16946D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1005</Words>
  <Characters>5935</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Klimecká Ester, Mgr. Bc.</dc:creator>
  <cp:keywords/>
  <dc:description/>
  <cp:lastModifiedBy>Tichota Ondřej, Mgr., DiS.</cp:lastModifiedBy>
  <cp:revision>31</cp:revision>
  <cp:lastPrinted>2024-01-04T13:06:00Z</cp:lastPrinted>
  <dcterms:created xsi:type="dcterms:W3CDTF">2026-06-17T14:02:00Z</dcterms:created>
  <dcterms:modified xsi:type="dcterms:W3CDTF">2026-09-09T13:44:00Z</dcterms:modified>
</cp:coreProperties>
</file>