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6C458" w14:textId="08485FDD" w:rsidR="003E3B85" w:rsidRPr="00251C1C" w:rsidRDefault="00331515" w:rsidP="003E3B85">
      <w:pPr>
        <w:spacing w:before="240"/>
        <w:jc w:val="right"/>
        <w:rPr>
          <w:rFonts w:ascii="Arial" w:hAnsi="Arial" w:cs="Arial"/>
          <w:color w:val="2658A5"/>
          <w:sz w:val="48"/>
          <w:szCs w:val="48"/>
          <w:lang w:val="en-GB"/>
        </w:rPr>
      </w:pPr>
      <w:r>
        <w:rPr>
          <w:rFonts w:ascii="Arial" w:eastAsia="Calibri" w:hAnsi="Arial" w:cs="Arial"/>
          <w:b/>
          <w:bCs/>
          <w:noProof/>
          <w:sz w:val="20"/>
          <w:szCs w:val="20"/>
          <w:lang w:val="en-GB"/>
        </w:rPr>
        <w:drawing>
          <wp:anchor distT="0" distB="0" distL="114300" distR="114300" simplePos="0" relativeHeight="251658240" behindDoc="0" locked="0" layoutInCell="1" allowOverlap="1" wp14:anchorId="19BD1EBB" wp14:editId="68CAA98A">
            <wp:simplePos x="0" y="0"/>
            <wp:positionH relativeFrom="margin">
              <wp:posOffset>0</wp:posOffset>
            </wp:positionH>
            <wp:positionV relativeFrom="paragraph">
              <wp:posOffset>70485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003C057F" w:rsidRPr="00251C1C">
        <w:rPr>
          <w:rFonts w:ascii="Arial" w:hAnsi="Arial" w:cs="Arial"/>
          <w:color w:val="2658A5"/>
          <w:sz w:val="48"/>
          <w:szCs w:val="48"/>
          <w:lang w:val="en-GB"/>
        </w:rPr>
        <w:t>PRESS RELEASE</w:t>
      </w:r>
    </w:p>
    <w:p w14:paraId="0022BE11" w14:textId="6DD4658A" w:rsidR="003E3B85" w:rsidRPr="00251C1C" w:rsidRDefault="003E3B85" w:rsidP="003E3B85">
      <w:pPr>
        <w:jc w:val="both"/>
        <w:rPr>
          <w:rFonts w:ascii="Montserrat" w:hAnsi="Montserrat"/>
          <w:sz w:val="20"/>
          <w:szCs w:val="20"/>
          <w:lang w:val="en-GB"/>
        </w:rPr>
      </w:pPr>
    </w:p>
    <w:p w14:paraId="2FD9C0A2" w14:textId="265909B5" w:rsidR="000E458F" w:rsidRPr="000E458F" w:rsidRDefault="00046053" w:rsidP="000E458F">
      <w:pPr>
        <w:rPr>
          <w:rFonts w:ascii="Arial" w:hAnsi="Arial" w:cs="Arial"/>
          <w:b/>
          <w:bCs/>
          <w:color w:val="2658A5"/>
          <w:sz w:val="32"/>
          <w:szCs w:val="32"/>
          <w:lang w:val="en-GB"/>
        </w:rPr>
      </w:pPr>
      <w:r>
        <w:rPr>
          <w:rFonts w:ascii="Arial" w:hAnsi="Arial" w:cs="Arial"/>
          <w:b/>
          <w:bCs/>
          <w:color w:val="2658A5"/>
          <w:sz w:val="32"/>
          <w:szCs w:val="32"/>
          <w:lang w:val="en-GB"/>
        </w:rPr>
        <w:br/>
      </w:r>
      <w:r w:rsidR="000E458F" w:rsidRPr="00251C1C">
        <w:rPr>
          <w:rFonts w:ascii="Arial" w:hAnsi="Arial" w:cs="Arial"/>
          <w:b/>
          <w:bCs/>
          <w:color w:val="2658A5"/>
          <w:sz w:val="32"/>
          <w:szCs w:val="32"/>
          <w:lang w:val="en-GB"/>
        </w:rPr>
        <w:t xml:space="preserve">2Q: </w:t>
      </w:r>
      <w:r w:rsidR="000E458F" w:rsidRPr="000E458F">
        <w:rPr>
          <w:rFonts w:ascii="Arial" w:hAnsi="Arial" w:cs="Arial"/>
          <w:b/>
          <w:bCs/>
          <w:color w:val="2658A5"/>
          <w:sz w:val="32"/>
          <w:szCs w:val="32"/>
          <w:lang w:val="en-GB"/>
        </w:rPr>
        <w:t>CTIA seized 14,354 counterfeit items worth nearly 54 million crowns</w:t>
      </w:r>
    </w:p>
    <w:p w14:paraId="4FBFC20B" w14:textId="31BADC43"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 xml:space="preserve">(Prague, July 30, 2026) </w:t>
      </w:r>
      <w:r w:rsidRPr="000E458F">
        <w:rPr>
          <w:rFonts w:ascii="Arial" w:eastAsia="Calibri" w:hAnsi="Arial" w:cs="Arial"/>
          <w:b/>
          <w:bCs/>
          <w:sz w:val="20"/>
          <w:szCs w:val="20"/>
          <w:lang w:val="en-GB"/>
        </w:rPr>
        <w:t>In the second quarter of this year, the CTIA continued its inspections to ensure compliance with the ban on offering, selling, and storing products infringing certain intellectual property rights. It carried out 204 inspections and found violations of the ban on offering, selling, and storing products infringing certain intellectual property rights in 111 of those inspections (54.41%).</w:t>
      </w:r>
    </w:p>
    <w:p w14:paraId="0A840CDF"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 xml:space="preserve">All Regional Inspectorates of the CTIA participated in the inspection activity, which focused on verifying compliance with the obligations arising from Section 8 of Act No. 634/1992 Coll., on Consumer Protection. The inspections also examined compliance with obligations arising from other legal regulations falling within the CTIA’s supervisory jurisdiction. The inspections were conducted based on an evaluation of the inspectorates’ own information, on complaints from intellectual property rights holders or their representatives, and on consumer complaints. </w:t>
      </w:r>
    </w:p>
    <w:p w14:paraId="06EE7792"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A total of 204 inspections were carried out between April 1 and June 30, 2026. Breaches of legal regulations were identified in 166 inspections (81.37%); of this number, 111 inspections revealed breaches of the prohibition on offering, selling, and storing products infringing certain intellectual property rights, which represents 54.41% of the inspections carried out.</w:t>
      </w:r>
    </w:p>
    <w:p w14:paraId="056DC421"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 xml:space="preserve">Based on the breaches of legal regulations identified within the inspection activity, </w:t>
      </w:r>
      <w:r w:rsidRPr="000E458F">
        <w:rPr>
          <w:rFonts w:ascii="Arial" w:eastAsia="Calibri" w:hAnsi="Arial" w:cs="Arial"/>
          <w:b/>
          <w:bCs/>
          <w:sz w:val="20"/>
          <w:szCs w:val="20"/>
          <w:lang w:val="en-GB"/>
        </w:rPr>
        <w:t>a total of 132 fines amounting to 2,419,500 CZK were definitively imposed in the second quarter of this year</w:t>
      </w:r>
      <w:r w:rsidRPr="000E458F">
        <w:rPr>
          <w:rFonts w:ascii="Arial" w:eastAsia="Calibri" w:hAnsi="Arial" w:cs="Arial"/>
          <w:sz w:val="20"/>
          <w:szCs w:val="20"/>
          <w:lang w:val="en-GB"/>
        </w:rPr>
        <w:t xml:space="preserve">, of which 66 fines </w:t>
      </w:r>
      <w:proofErr w:type="spellStart"/>
      <w:r w:rsidRPr="000E458F">
        <w:rPr>
          <w:rFonts w:ascii="Arial" w:eastAsia="Calibri" w:hAnsi="Arial" w:cs="Arial"/>
          <w:sz w:val="20"/>
          <w:szCs w:val="20"/>
          <w:lang w:val="en-GB"/>
        </w:rPr>
        <w:t>totaling</w:t>
      </w:r>
      <w:proofErr w:type="spellEnd"/>
      <w:r w:rsidRPr="000E458F">
        <w:rPr>
          <w:rFonts w:ascii="Arial" w:eastAsia="Calibri" w:hAnsi="Arial" w:cs="Arial"/>
          <w:sz w:val="20"/>
          <w:szCs w:val="20"/>
          <w:lang w:val="en-GB"/>
        </w:rPr>
        <w:t xml:space="preserve"> 1,664,500 CZK were related to breaches of Section 8 of the Act on Consumer Protection.</w:t>
      </w:r>
    </w:p>
    <w:p w14:paraId="18EE1023" w14:textId="023E7A13"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 xml:space="preserve">In addition to the sanctions, </w:t>
      </w:r>
      <w:r w:rsidRPr="000E458F">
        <w:rPr>
          <w:rFonts w:ascii="Arial" w:eastAsia="Calibri" w:hAnsi="Arial" w:cs="Arial"/>
          <w:b/>
          <w:bCs/>
          <w:sz w:val="20"/>
          <w:szCs w:val="20"/>
          <w:lang w:val="en-GB"/>
        </w:rPr>
        <w:t>a total of</w:t>
      </w:r>
      <w:r w:rsidR="00A73133">
        <w:rPr>
          <w:rFonts w:ascii="Arial" w:eastAsia="Calibri" w:hAnsi="Arial" w:cs="Arial"/>
          <w:b/>
          <w:bCs/>
          <w:sz w:val="20"/>
          <w:szCs w:val="20"/>
          <w:lang w:val="en-GB"/>
        </w:rPr>
        <w:t xml:space="preserve"> </w:t>
      </w:r>
      <w:r w:rsidRPr="000E458F">
        <w:rPr>
          <w:rFonts w:ascii="Arial" w:eastAsia="Calibri" w:hAnsi="Arial" w:cs="Arial"/>
          <w:b/>
          <w:bCs/>
          <w:sz w:val="20"/>
          <w:szCs w:val="20"/>
          <w:lang w:val="en-GB"/>
        </w:rPr>
        <w:t>14,354 counterfeit items, valued at CZK 53,746,918 based on the prices of the originals</w:t>
      </w:r>
      <w:r w:rsidRPr="000E458F">
        <w:rPr>
          <w:rFonts w:ascii="Arial" w:eastAsia="Calibri" w:hAnsi="Arial" w:cs="Arial"/>
          <w:sz w:val="20"/>
          <w:szCs w:val="20"/>
          <w:lang w:val="en-GB"/>
        </w:rPr>
        <w:t xml:space="preserve"> (original prices are approximate), were seized and placed out of the reach of the parties being inspected. In accordance with Section 7b of Act No. 64/1986 Coll., on the Czech Trade Inspection Authority, the seized products were placed beyond the reach of the inspected parties. Products that do not comply with special legal regulations and for which a final decision has been made regarding their forfeiture or seizure are subsequently destroyed or used for humanitarian purposes.</w:t>
      </w:r>
    </w:p>
    <w:p w14:paraId="7FEDCA5B"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In conducting inspections to ensure compliance with the prohibition on offering, selling, and storing products infringing certain intellectual property rights, the Office collaborated with other state administrative authorities, specifically the Police of the Czech Republic and the Customs Administration of the Czech Republic.</w:t>
      </w:r>
    </w:p>
    <w:p w14:paraId="6078F560"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 xml:space="preserve">During the period under review, a major </w:t>
      </w:r>
      <w:hyperlink r:id="rId9" w:history="1">
        <w:r w:rsidRPr="000E458F">
          <w:rPr>
            <w:rStyle w:val="Hypertextovodkaz"/>
            <w:rFonts w:ascii="Arial" w:eastAsia="Calibri" w:hAnsi="Arial" w:cs="Arial"/>
            <w:sz w:val="20"/>
            <w:szCs w:val="20"/>
            <w:lang w:val="en-GB"/>
          </w:rPr>
          <w:t>inspection activity</w:t>
        </w:r>
      </w:hyperlink>
      <w:r w:rsidRPr="000E458F">
        <w:rPr>
          <w:rFonts w:ascii="Arial" w:eastAsia="Calibri" w:hAnsi="Arial" w:cs="Arial"/>
          <w:sz w:val="20"/>
          <w:szCs w:val="20"/>
          <w:lang w:val="en-GB"/>
        </w:rPr>
        <w:t xml:space="preserve"> was carried out at the </w:t>
      </w:r>
      <w:proofErr w:type="spellStart"/>
      <w:r w:rsidRPr="000E458F">
        <w:rPr>
          <w:rFonts w:ascii="Arial" w:eastAsia="Calibri" w:hAnsi="Arial" w:cs="Arial"/>
          <w:b/>
          <w:bCs/>
          <w:sz w:val="20"/>
          <w:szCs w:val="20"/>
          <w:lang w:val="en-GB"/>
        </w:rPr>
        <w:t>Hatě</w:t>
      </w:r>
      <w:proofErr w:type="spellEnd"/>
      <w:r w:rsidRPr="000E458F">
        <w:rPr>
          <w:rFonts w:ascii="Arial" w:eastAsia="Calibri" w:hAnsi="Arial" w:cs="Arial"/>
          <w:b/>
          <w:bCs/>
          <w:sz w:val="20"/>
          <w:szCs w:val="20"/>
          <w:lang w:val="en-GB"/>
        </w:rPr>
        <w:t xml:space="preserve"> border crossing</w:t>
      </w:r>
      <w:r w:rsidRPr="000E458F">
        <w:rPr>
          <w:rFonts w:ascii="Arial" w:eastAsia="Calibri" w:hAnsi="Arial" w:cs="Arial"/>
          <w:sz w:val="20"/>
          <w:szCs w:val="20"/>
          <w:lang w:val="en-GB"/>
        </w:rPr>
        <w:t xml:space="preserve">, where </w:t>
      </w:r>
      <w:r w:rsidRPr="000E458F">
        <w:rPr>
          <w:rFonts w:ascii="Arial" w:eastAsia="Calibri" w:hAnsi="Arial" w:cs="Arial"/>
          <w:b/>
          <w:bCs/>
          <w:sz w:val="20"/>
          <w:szCs w:val="20"/>
          <w:lang w:val="en-GB"/>
        </w:rPr>
        <w:t>products with a value equivalent to nearly 17 million crowns of originals were seized</w:t>
      </w:r>
      <w:r w:rsidRPr="000E458F">
        <w:rPr>
          <w:rFonts w:ascii="Arial" w:eastAsia="Calibri" w:hAnsi="Arial" w:cs="Arial"/>
          <w:sz w:val="20"/>
          <w:szCs w:val="20"/>
          <w:lang w:val="en-GB"/>
        </w:rPr>
        <w:t>.</w:t>
      </w:r>
    </w:p>
    <w:p w14:paraId="1B6A4882"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 xml:space="preserve">Other inspections took place, for example, at marketplaces in </w:t>
      </w:r>
      <w:proofErr w:type="spellStart"/>
      <w:r w:rsidRPr="000E458F">
        <w:rPr>
          <w:rFonts w:ascii="Arial" w:eastAsia="Calibri" w:hAnsi="Arial" w:cs="Arial"/>
          <w:sz w:val="20"/>
          <w:szCs w:val="20"/>
          <w:lang w:val="en-GB"/>
        </w:rPr>
        <w:t>Svatá</w:t>
      </w:r>
      <w:proofErr w:type="spellEnd"/>
      <w:r w:rsidRPr="000E458F">
        <w:rPr>
          <w:rFonts w:ascii="Arial" w:eastAsia="Calibri" w:hAnsi="Arial" w:cs="Arial"/>
          <w:sz w:val="20"/>
          <w:szCs w:val="20"/>
          <w:lang w:val="en-GB"/>
        </w:rPr>
        <w:t xml:space="preserve"> Kateřina, </w:t>
      </w:r>
      <w:proofErr w:type="spellStart"/>
      <w:r w:rsidRPr="000E458F">
        <w:rPr>
          <w:rFonts w:ascii="Arial" w:eastAsia="Calibri" w:hAnsi="Arial" w:cs="Arial"/>
          <w:sz w:val="20"/>
          <w:szCs w:val="20"/>
          <w:lang w:val="en-GB"/>
        </w:rPr>
        <w:t>Horní</w:t>
      </w:r>
      <w:proofErr w:type="spellEnd"/>
      <w:r w:rsidRPr="000E458F">
        <w:rPr>
          <w:rFonts w:ascii="Arial" w:eastAsia="Calibri" w:hAnsi="Arial" w:cs="Arial"/>
          <w:sz w:val="20"/>
          <w:szCs w:val="20"/>
          <w:lang w:val="en-GB"/>
        </w:rPr>
        <w:t xml:space="preserve"> </w:t>
      </w:r>
      <w:proofErr w:type="spellStart"/>
      <w:r w:rsidRPr="000E458F">
        <w:rPr>
          <w:rFonts w:ascii="Arial" w:eastAsia="Calibri" w:hAnsi="Arial" w:cs="Arial"/>
          <w:sz w:val="20"/>
          <w:szCs w:val="20"/>
          <w:lang w:val="en-GB"/>
        </w:rPr>
        <w:t>Folmava</w:t>
      </w:r>
      <w:proofErr w:type="spellEnd"/>
      <w:r w:rsidRPr="000E458F">
        <w:rPr>
          <w:rFonts w:ascii="Arial" w:eastAsia="Calibri" w:hAnsi="Arial" w:cs="Arial"/>
          <w:sz w:val="20"/>
          <w:szCs w:val="20"/>
          <w:lang w:val="en-GB"/>
        </w:rPr>
        <w:t xml:space="preserve">, </w:t>
      </w:r>
      <w:proofErr w:type="spellStart"/>
      <w:r w:rsidRPr="000E458F">
        <w:rPr>
          <w:rFonts w:ascii="Arial" w:eastAsia="Calibri" w:hAnsi="Arial" w:cs="Arial"/>
          <w:sz w:val="20"/>
          <w:szCs w:val="20"/>
          <w:lang w:val="en-GB"/>
        </w:rPr>
        <w:t>Potůčky</w:t>
      </w:r>
      <w:proofErr w:type="spellEnd"/>
      <w:r w:rsidRPr="000E458F">
        <w:rPr>
          <w:rFonts w:ascii="Arial" w:eastAsia="Calibri" w:hAnsi="Arial" w:cs="Arial"/>
          <w:sz w:val="20"/>
          <w:szCs w:val="20"/>
          <w:lang w:val="en-GB"/>
        </w:rPr>
        <w:t xml:space="preserve">, and </w:t>
      </w:r>
      <w:proofErr w:type="spellStart"/>
      <w:r w:rsidRPr="000E458F">
        <w:rPr>
          <w:rFonts w:ascii="Arial" w:eastAsia="Calibri" w:hAnsi="Arial" w:cs="Arial"/>
          <w:sz w:val="20"/>
          <w:szCs w:val="20"/>
          <w:lang w:val="en-GB"/>
        </w:rPr>
        <w:t>Lipový</w:t>
      </w:r>
      <w:proofErr w:type="spellEnd"/>
      <w:r w:rsidRPr="000E458F">
        <w:rPr>
          <w:rFonts w:ascii="Arial" w:eastAsia="Calibri" w:hAnsi="Arial" w:cs="Arial"/>
          <w:sz w:val="20"/>
          <w:szCs w:val="20"/>
          <w:lang w:val="en-GB"/>
        </w:rPr>
        <w:t xml:space="preserve"> </w:t>
      </w:r>
      <w:proofErr w:type="spellStart"/>
      <w:r w:rsidRPr="000E458F">
        <w:rPr>
          <w:rFonts w:ascii="Arial" w:eastAsia="Calibri" w:hAnsi="Arial" w:cs="Arial"/>
          <w:sz w:val="20"/>
          <w:szCs w:val="20"/>
          <w:lang w:val="en-GB"/>
        </w:rPr>
        <w:t>dvůr</w:t>
      </w:r>
      <w:proofErr w:type="spellEnd"/>
      <w:r w:rsidRPr="000E458F">
        <w:rPr>
          <w:rFonts w:ascii="Arial" w:eastAsia="Calibri" w:hAnsi="Arial" w:cs="Arial"/>
          <w:sz w:val="20"/>
          <w:szCs w:val="20"/>
          <w:lang w:val="en-GB"/>
        </w:rPr>
        <w:t xml:space="preserve">, where products with a value equivalent to that of the originals </w:t>
      </w:r>
      <w:proofErr w:type="spellStart"/>
      <w:r w:rsidRPr="000E458F">
        <w:rPr>
          <w:rFonts w:ascii="Arial" w:eastAsia="Calibri" w:hAnsi="Arial" w:cs="Arial"/>
          <w:sz w:val="20"/>
          <w:szCs w:val="20"/>
          <w:lang w:val="en-GB"/>
        </w:rPr>
        <w:t>totaling</w:t>
      </w:r>
      <w:proofErr w:type="spellEnd"/>
      <w:r w:rsidRPr="000E458F">
        <w:rPr>
          <w:rFonts w:ascii="Arial" w:eastAsia="Calibri" w:hAnsi="Arial" w:cs="Arial"/>
          <w:sz w:val="20"/>
          <w:szCs w:val="20"/>
          <w:lang w:val="en-GB"/>
        </w:rPr>
        <w:t xml:space="preserve"> nearly 12 million crowns were seized. During an </w:t>
      </w:r>
      <w:hyperlink r:id="rId10" w:history="1">
        <w:r w:rsidRPr="000E458F">
          <w:rPr>
            <w:rStyle w:val="Hypertextovodkaz"/>
            <w:rFonts w:ascii="Arial" w:eastAsia="Calibri" w:hAnsi="Arial" w:cs="Arial"/>
            <w:sz w:val="20"/>
            <w:szCs w:val="20"/>
            <w:lang w:val="en-GB"/>
          </w:rPr>
          <w:t>inspection activity</w:t>
        </w:r>
      </w:hyperlink>
      <w:r w:rsidRPr="000E458F">
        <w:rPr>
          <w:rFonts w:ascii="Arial" w:eastAsia="Calibri" w:hAnsi="Arial" w:cs="Arial"/>
          <w:sz w:val="20"/>
          <w:szCs w:val="20"/>
          <w:lang w:val="en-GB"/>
        </w:rPr>
        <w:t xml:space="preserve"> </w:t>
      </w:r>
      <w:r w:rsidRPr="000E458F">
        <w:rPr>
          <w:rFonts w:ascii="Arial" w:eastAsia="Calibri" w:hAnsi="Arial" w:cs="Arial"/>
          <w:b/>
          <w:bCs/>
          <w:sz w:val="20"/>
          <w:szCs w:val="20"/>
          <w:lang w:val="en-GB"/>
        </w:rPr>
        <w:t>at the SAPA marketplace in Prague</w:t>
      </w:r>
      <w:r w:rsidRPr="000E458F">
        <w:rPr>
          <w:rFonts w:ascii="Arial" w:eastAsia="Calibri" w:hAnsi="Arial" w:cs="Arial"/>
          <w:sz w:val="20"/>
          <w:szCs w:val="20"/>
          <w:lang w:val="en-GB"/>
        </w:rPr>
        <w:t xml:space="preserve">, </w:t>
      </w:r>
      <w:r w:rsidRPr="000E458F">
        <w:rPr>
          <w:rFonts w:ascii="Arial" w:eastAsia="Calibri" w:hAnsi="Arial" w:cs="Arial"/>
          <w:b/>
          <w:bCs/>
          <w:sz w:val="20"/>
          <w:szCs w:val="20"/>
          <w:lang w:val="en-GB"/>
        </w:rPr>
        <w:t xml:space="preserve">products with a value equivalent to that of the originals </w:t>
      </w:r>
      <w:proofErr w:type="spellStart"/>
      <w:r w:rsidRPr="000E458F">
        <w:rPr>
          <w:rFonts w:ascii="Arial" w:eastAsia="Calibri" w:hAnsi="Arial" w:cs="Arial"/>
          <w:b/>
          <w:bCs/>
          <w:sz w:val="20"/>
          <w:szCs w:val="20"/>
          <w:lang w:val="en-GB"/>
        </w:rPr>
        <w:t>totaling</w:t>
      </w:r>
      <w:proofErr w:type="spellEnd"/>
      <w:r w:rsidRPr="000E458F">
        <w:rPr>
          <w:rFonts w:ascii="Arial" w:eastAsia="Calibri" w:hAnsi="Arial" w:cs="Arial"/>
          <w:b/>
          <w:bCs/>
          <w:sz w:val="20"/>
          <w:szCs w:val="20"/>
          <w:lang w:val="en-GB"/>
        </w:rPr>
        <w:t xml:space="preserve"> 3,850,470 crowns were seized</w:t>
      </w:r>
      <w:r w:rsidRPr="000E458F">
        <w:rPr>
          <w:rFonts w:ascii="Arial" w:eastAsia="Calibri" w:hAnsi="Arial" w:cs="Arial"/>
          <w:sz w:val="20"/>
          <w:szCs w:val="20"/>
          <w:lang w:val="en-GB"/>
        </w:rPr>
        <w:t>.</w:t>
      </w:r>
    </w:p>
    <w:p w14:paraId="576C5487"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 xml:space="preserve">Based on sales method, the highest number of violations of Section 8 of the Act on Consumer Protection during the monitored period was found at farmers’ markets, street markets, and stands, where 64 inspections were carried out, all of which revealed violations (including 58 cases of violations </w:t>
      </w:r>
      <w:r w:rsidRPr="000E458F">
        <w:rPr>
          <w:rFonts w:ascii="Arial" w:eastAsia="Calibri" w:hAnsi="Arial" w:cs="Arial"/>
          <w:sz w:val="20"/>
          <w:szCs w:val="20"/>
          <w:lang w:val="en-GB"/>
        </w:rPr>
        <w:lastRenderedPageBreak/>
        <w:t>of Section 8 of the Act on Consumer Protection). A total of 132 inspections were carried out at ordinary shops, 52 of which revealed violations of Section 8 of the Act on Consumer Protection.</w:t>
      </w:r>
    </w:p>
    <w:p w14:paraId="71F3ACCF"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One inspection was carried out on an e-commerce website, and this inspection also revealed a violation of Section 8 of the Act on Consumer Protection.</w:t>
      </w:r>
    </w:p>
    <w:p w14:paraId="2C398560"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b/>
          <w:bCs/>
          <w:sz w:val="20"/>
          <w:szCs w:val="20"/>
          <w:lang w:val="en-GB"/>
        </w:rPr>
        <w:t>In terms of product categories</w:t>
      </w:r>
      <w:r w:rsidRPr="000E458F">
        <w:rPr>
          <w:rFonts w:ascii="Arial" w:eastAsia="Calibri" w:hAnsi="Arial" w:cs="Arial"/>
          <w:sz w:val="20"/>
          <w:szCs w:val="20"/>
          <w:lang w:val="en-GB"/>
        </w:rPr>
        <w:t xml:space="preserve">, intellectual property rights were </w:t>
      </w:r>
      <w:r w:rsidRPr="000E458F">
        <w:rPr>
          <w:rFonts w:ascii="Arial" w:eastAsia="Calibri" w:hAnsi="Arial" w:cs="Arial"/>
          <w:b/>
          <w:bCs/>
          <w:sz w:val="20"/>
          <w:szCs w:val="20"/>
          <w:lang w:val="en-GB"/>
        </w:rPr>
        <w:t>most frequently</w:t>
      </w:r>
      <w:r w:rsidRPr="000E458F">
        <w:rPr>
          <w:rFonts w:ascii="Arial" w:eastAsia="Calibri" w:hAnsi="Arial" w:cs="Arial"/>
          <w:sz w:val="20"/>
          <w:szCs w:val="20"/>
          <w:lang w:val="en-GB"/>
        </w:rPr>
        <w:t xml:space="preserve"> infringed </w:t>
      </w:r>
      <w:r w:rsidRPr="000E458F">
        <w:rPr>
          <w:rFonts w:ascii="Arial" w:eastAsia="Calibri" w:hAnsi="Arial" w:cs="Arial"/>
          <w:b/>
          <w:bCs/>
          <w:sz w:val="20"/>
          <w:szCs w:val="20"/>
          <w:lang w:val="en-GB"/>
        </w:rPr>
        <w:t>in textile products</w:t>
      </w:r>
      <w:r w:rsidRPr="000E458F">
        <w:rPr>
          <w:rFonts w:ascii="Arial" w:eastAsia="Calibri" w:hAnsi="Arial" w:cs="Arial"/>
          <w:sz w:val="20"/>
          <w:szCs w:val="20"/>
          <w:lang w:val="en-GB"/>
        </w:rPr>
        <w:t xml:space="preserve">, followed by </w:t>
      </w:r>
      <w:r w:rsidRPr="000E458F">
        <w:rPr>
          <w:rFonts w:ascii="Arial" w:eastAsia="Calibri" w:hAnsi="Arial" w:cs="Arial"/>
          <w:b/>
          <w:bCs/>
          <w:sz w:val="20"/>
          <w:szCs w:val="20"/>
          <w:lang w:val="en-GB"/>
        </w:rPr>
        <w:t>footwear and leather goods</w:t>
      </w:r>
      <w:r w:rsidRPr="000E458F">
        <w:rPr>
          <w:rFonts w:ascii="Arial" w:eastAsia="Calibri" w:hAnsi="Arial" w:cs="Arial"/>
          <w:sz w:val="20"/>
          <w:szCs w:val="20"/>
          <w:lang w:val="en-GB"/>
        </w:rPr>
        <w:t xml:space="preserve">. Of the total number of seized products, </w:t>
      </w:r>
      <w:proofErr w:type="gramStart"/>
      <w:r w:rsidRPr="000E458F">
        <w:rPr>
          <w:rFonts w:ascii="Arial" w:eastAsia="Calibri" w:hAnsi="Arial" w:cs="Arial"/>
          <w:sz w:val="20"/>
          <w:szCs w:val="20"/>
          <w:lang w:val="en-GB"/>
        </w:rPr>
        <w:t>the majority of</w:t>
      </w:r>
      <w:proofErr w:type="gramEnd"/>
      <w:r w:rsidRPr="000E458F">
        <w:rPr>
          <w:rFonts w:ascii="Arial" w:eastAsia="Calibri" w:hAnsi="Arial" w:cs="Arial"/>
          <w:sz w:val="20"/>
          <w:szCs w:val="20"/>
          <w:lang w:val="en-GB"/>
        </w:rPr>
        <w:t xml:space="preserve"> trademarks belonged to Nike, Louis Vuitton, Liebeskind Berlin, FIFA, Tommy Hilfiger, Calvin Klein, Polo, and </w:t>
      </w:r>
      <w:proofErr w:type="spellStart"/>
      <w:r w:rsidRPr="000E458F">
        <w:rPr>
          <w:rFonts w:ascii="Arial" w:eastAsia="Calibri" w:hAnsi="Arial" w:cs="Arial"/>
          <w:sz w:val="20"/>
          <w:szCs w:val="20"/>
          <w:lang w:val="en-GB"/>
        </w:rPr>
        <w:t>PokémonWizards</w:t>
      </w:r>
      <w:proofErr w:type="spellEnd"/>
      <w:r w:rsidRPr="000E458F">
        <w:rPr>
          <w:rFonts w:ascii="Arial" w:eastAsia="Calibri" w:hAnsi="Arial" w:cs="Arial"/>
          <w:sz w:val="20"/>
          <w:szCs w:val="20"/>
          <w:lang w:val="en-GB"/>
        </w:rPr>
        <w:t>.</w:t>
      </w:r>
    </w:p>
    <w:p w14:paraId="35BE773D"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sz w:val="20"/>
          <w:szCs w:val="20"/>
          <w:lang w:val="en-GB"/>
        </w:rPr>
        <w:t>The share of individual product categories in the total volume of products seized on suspicion of infringing certain intellectual property rights is illustrated in the following chart:</w:t>
      </w:r>
    </w:p>
    <w:p w14:paraId="66F11DF3" w14:textId="77777777" w:rsidR="000E458F" w:rsidRPr="000E458F" w:rsidRDefault="000E458F" w:rsidP="000E458F">
      <w:pPr>
        <w:rPr>
          <w:rFonts w:ascii="Arial" w:eastAsia="Calibri" w:hAnsi="Arial" w:cs="Arial"/>
          <w:sz w:val="20"/>
          <w:szCs w:val="20"/>
          <w:lang w:val="en-GB"/>
        </w:rPr>
      </w:pPr>
    </w:p>
    <w:p w14:paraId="4B16D55C" w14:textId="77777777" w:rsidR="000E458F" w:rsidRPr="000E458F" w:rsidRDefault="000E458F" w:rsidP="000E458F">
      <w:pPr>
        <w:rPr>
          <w:rFonts w:ascii="Arial" w:eastAsia="Calibri" w:hAnsi="Arial" w:cs="Arial"/>
          <w:sz w:val="20"/>
          <w:szCs w:val="20"/>
          <w:lang w:val="en-GB"/>
        </w:rPr>
      </w:pPr>
      <w:r w:rsidRPr="000E458F">
        <w:rPr>
          <w:rFonts w:ascii="Arial" w:eastAsia="Calibri" w:hAnsi="Arial" w:cs="Arial"/>
          <w:b/>
          <w:bCs/>
          <w:sz w:val="20"/>
          <w:szCs w:val="20"/>
          <w:u w:val="single"/>
          <w:lang w:val="en-GB"/>
        </w:rPr>
        <w:t>Chart No. 1: Share of Product Categories in the Total Volume of Seized Products</w:t>
      </w:r>
    </w:p>
    <w:p w14:paraId="34BD2A26" w14:textId="0E98AAC1" w:rsidR="00534491" w:rsidRPr="00251C1C" w:rsidRDefault="0091609C" w:rsidP="00743663">
      <w:pPr>
        <w:rPr>
          <w:rFonts w:ascii="Arial" w:hAnsi="Arial" w:cs="Arial"/>
          <w:b/>
          <w:bCs/>
          <w:sz w:val="20"/>
          <w:szCs w:val="20"/>
          <w:u w:val="single"/>
          <w:lang w:val="en-GB"/>
        </w:rPr>
      </w:pPr>
      <w:r w:rsidRPr="00251C1C">
        <w:rPr>
          <w:lang w:val="en-GB"/>
        </w:rPr>
        <w:drawing>
          <wp:inline distT="0" distB="0" distL="0" distR="0" wp14:anchorId="11DB6C15" wp14:editId="13B2A2BF">
            <wp:extent cx="5760720" cy="2226691"/>
            <wp:effectExtent l="0" t="0" r="11430" b="2540"/>
            <wp:docPr id="1199028500" name="Graf 1">
              <a:extLst xmlns:a="http://schemas.openxmlformats.org/drawingml/2006/main">
                <a:ext uri="{FF2B5EF4-FFF2-40B4-BE49-F238E27FC236}">
                  <a16:creationId xmlns:a16="http://schemas.microsoft.com/office/drawing/2014/main" id="{C64A40E5-9548-8D8E-765B-C4AB061D7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43663" w:rsidRPr="00251C1C">
        <w:rPr>
          <w:rFonts w:ascii="Arial" w:hAnsi="Arial" w:cs="Arial"/>
          <w:b/>
          <w:bCs/>
          <w:sz w:val="20"/>
          <w:szCs w:val="20"/>
          <w:u w:val="single"/>
          <w:lang w:val="en-GB"/>
        </w:rPr>
        <w:br/>
      </w:r>
    </w:p>
    <w:p w14:paraId="018B73CD" w14:textId="77777777" w:rsidR="00AE4169" w:rsidRPr="00AE4169" w:rsidRDefault="00AE4169" w:rsidP="00AE4169">
      <w:pPr>
        <w:rPr>
          <w:rFonts w:ascii="Arial" w:hAnsi="Arial" w:cs="Arial"/>
          <w:sz w:val="20"/>
          <w:szCs w:val="20"/>
          <w:lang w:val="en-GB"/>
        </w:rPr>
      </w:pPr>
      <w:r w:rsidRPr="00AE4169">
        <w:rPr>
          <w:rFonts w:ascii="Arial" w:hAnsi="Arial" w:cs="Arial"/>
          <w:sz w:val="20"/>
          <w:szCs w:val="20"/>
          <w:lang w:val="en-GB"/>
        </w:rPr>
        <w:t>The following chart shows the share of selected trademarks in the total volume of seized products. Trademarks not included in the list appeared on fewer than 450 seized products.</w:t>
      </w:r>
    </w:p>
    <w:p w14:paraId="5DE62024" w14:textId="77777777" w:rsidR="00AE4169" w:rsidRPr="00AE4169" w:rsidRDefault="00AE4169" w:rsidP="00AE4169">
      <w:pPr>
        <w:rPr>
          <w:rFonts w:ascii="Arial" w:hAnsi="Arial" w:cs="Arial"/>
          <w:sz w:val="20"/>
          <w:szCs w:val="20"/>
          <w:lang w:val="en-GB"/>
        </w:rPr>
      </w:pPr>
    </w:p>
    <w:p w14:paraId="156102E8" w14:textId="4250464F" w:rsidR="000160A2" w:rsidRPr="00251C1C" w:rsidRDefault="00AE4169" w:rsidP="000160A2">
      <w:pPr>
        <w:rPr>
          <w:rFonts w:ascii="Arial" w:hAnsi="Arial" w:cs="Arial"/>
          <w:b/>
          <w:bCs/>
          <w:sz w:val="20"/>
          <w:szCs w:val="20"/>
          <w:u w:val="single"/>
          <w:lang w:val="en-GB"/>
        </w:rPr>
      </w:pPr>
      <w:r w:rsidRPr="00AE4169">
        <w:rPr>
          <w:rFonts w:ascii="Arial" w:hAnsi="Arial" w:cs="Arial"/>
          <w:b/>
          <w:bCs/>
          <w:sz w:val="20"/>
          <w:szCs w:val="20"/>
          <w:u w:val="single"/>
          <w:lang w:val="en-GB"/>
        </w:rPr>
        <w:t xml:space="preserve">Chart No. 2: Seized Products by Brand (more than 450 </w:t>
      </w:r>
      <w:r w:rsidRPr="00251C1C">
        <w:rPr>
          <w:rFonts w:ascii="Arial" w:hAnsi="Arial" w:cs="Arial"/>
          <w:b/>
          <w:bCs/>
          <w:sz w:val="20"/>
          <w:szCs w:val="20"/>
          <w:u w:val="single"/>
          <w:lang w:val="en-GB"/>
        </w:rPr>
        <w:t>item</w:t>
      </w:r>
      <w:r w:rsidR="00BF56B1" w:rsidRPr="00251C1C">
        <w:rPr>
          <w:rFonts w:ascii="Arial" w:hAnsi="Arial" w:cs="Arial"/>
          <w:b/>
          <w:bCs/>
          <w:sz w:val="20"/>
          <w:szCs w:val="20"/>
          <w:u w:val="single"/>
          <w:lang w:val="en-GB"/>
        </w:rPr>
        <w:t>s</w:t>
      </w:r>
      <w:r w:rsidR="00534491" w:rsidRPr="00251C1C">
        <w:rPr>
          <w:rFonts w:ascii="Arial" w:hAnsi="Arial" w:cs="Arial"/>
          <w:b/>
          <w:bCs/>
          <w:sz w:val="20"/>
          <w:szCs w:val="20"/>
          <w:u w:val="single"/>
          <w:lang w:val="en-GB"/>
        </w:rPr>
        <w:t>)</w:t>
      </w:r>
    </w:p>
    <w:p w14:paraId="1BE7D3EA" w14:textId="7D124278" w:rsidR="00656822" w:rsidRPr="00251C1C" w:rsidRDefault="00173734" w:rsidP="0091609C">
      <w:pPr>
        <w:rPr>
          <w:rFonts w:cs="Arial"/>
          <w:sz w:val="20"/>
          <w:szCs w:val="20"/>
          <w:lang w:val="en-GB"/>
        </w:rPr>
      </w:pPr>
      <w:r w:rsidRPr="00251C1C">
        <w:rPr>
          <w:lang w:val="en-GB"/>
        </w:rPr>
        <w:drawing>
          <wp:inline distT="0" distB="0" distL="0" distR="0" wp14:anchorId="408CFA84" wp14:editId="48E8C249">
            <wp:extent cx="5760720" cy="2838002"/>
            <wp:effectExtent l="0" t="0" r="11430" b="635"/>
            <wp:docPr id="1363762601" name="Graf 1">
              <a:extLst xmlns:a="http://schemas.openxmlformats.org/drawingml/2006/main">
                <a:ext uri="{FF2B5EF4-FFF2-40B4-BE49-F238E27FC236}">
                  <a16:creationId xmlns:a16="http://schemas.microsoft.com/office/drawing/2014/main" id="{299E60DF-5838-1284-D93B-A0F0195CA3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656822" w:rsidRPr="00251C1C" w:rsidSect="00663C7B">
      <w:headerReference w:type="default" r:id="rId13"/>
      <w:footerReference w:type="default" r:id="rId14"/>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E6932" w14:textId="77777777" w:rsidR="00FE39EC" w:rsidRDefault="00FE39EC" w:rsidP="00807D68">
      <w:pPr>
        <w:spacing w:after="0" w:line="240" w:lineRule="auto"/>
      </w:pPr>
      <w:r>
        <w:separator/>
      </w:r>
    </w:p>
  </w:endnote>
  <w:endnote w:type="continuationSeparator" w:id="0">
    <w:p w14:paraId="482DC16C" w14:textId="77777777" w:rsidR="00FE39EC" w:rsidRDefault="00FE39EC"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5DB9" w14:textId="77777777" w:rsidR="00046053" w:rsidRPr="000B3C18" w:rsidRDefault="00046053" w:rsidP="00046053">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7E17BF5E" wp14:editId="70156E55">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15F47538" w14:textId="77777777" w:rsidR="00046053" w:rsidRPr="007F2BC4" w:rsidRDefault="00046053" w:rsidP="00046053">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7E17BF5E"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15F47538" w14:textId="77777777" w:rsidR="00046053" w:rsidRPr="007F2BC4" w:rsidRDefault="00046053" w:rsidP="00046053">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0136B662" wp14:editId="2AFF78B0">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5E41A48B" w14:textId="77777777" w:rsidR="00046053" w:rsidRPr="00DC6D14" w:rsidRDefault="00046053" w:rsidP="00046053">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136B662"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5E41A48B" w14:textId="77777777" w:rsidR="00046053" w:rsidRPr="00DC6D14" w:rsidRDefault="00046053" w:rsidP="00046053">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38A86A97" w:rsidR="00F34A6A" w:rsidRPr="00046053" w:rsidRDefault="00046053" w:rsidP="00046053">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6F2B" w14:textId="77777777" w:rsidR="00FE39EC" w:rsidRDefault="00FE39EC" w:rsidP="00807D68">
      <w:pPr>
        <w:spacing w:after="0" w:line="240" w:lineRule="auto"/>
      </w:pPr>
      <w:r>
        <w:separator/>
      </w:r>
    </w:p>
  </w:footnote>
  <w:footnote w:type="continuationSeparator" w:id="0">
    <w:p w14:paraId="4BC4B8F6" w14:textId="77777777" w:rsidR="00FE39EC" w:rsidRDefault="00FE39EC"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DF6"/>
    <w:multiLevelType w:val="hybridMultilevel"/>
    <w:tmpl w:val="FA3A33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8FB158A"/>
    <w:multiLevelType w:val="hybridMultilevel"/>
    <w:tmpl w:val="E362D29E"/>
    <w:lvl w:ilvl="0" w:tplc="90184EF8">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2" w15:restartNumberingAfterBreak="0">
    <w:nsid w:val="1CD43469"/>
    <w:multiLevelType w:val="hybridMultilevel"/>
    <w:tmpl w:val="79FE67E8"/>
    <w:lvl w:ilvl="0" w:tplc="CA5831C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771E44"/>
    <w:multiLevelType w:val="hybridMultilevel"/>
    <w:tmpl w:val="86C49B60"/>
    <w:lvl w:ilvl="0" w:tplc="352E771C">
      <w:start w:val="1"/>
      <w:numFmt w:val="lowerLetter"/>
      <w:lvlText w:val="%1)"/>
      <w:lvlJc w:val="left"/>
      <w:pPr>
        <w:ind w:left="345" w:hanging="360"/>
      </w:pPr>
      <w:rPr>
        <w:rFonts w:ascii="Arial" w:eastAsiaTheme="minorHAnsi" w:hAnsi="Arial" w:cs="Arial"/>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4" w15:restartNumberingAfterBreak="0">
    <w:nsid w:val="2988097F"/>
    <w:multiLevelType w:val="hybridMultilevel"/>
    <w:tmpl w:val="DF9AB0D8"/>
    <w:lvl w:ilvl="0" w:tplc="066234B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5" w15:restartNumberingAfterBreak="0">
    <w:nsid w:val="3F5A1D76"/>
    <w:multiLevelType w:val="hybridMultilevel"/>
    <w:tmpl w:val="9BCA0DBC"/>
    <w:lvl w:ilvl="0" w:tplc="66261D70">
      <w:start w:val="1"/>
      <w:numFmt w:val="bullet"/>
      <w:lvlText w:val="-"/>
      <w:lvlJc w:val="left"/>
      <w:pPr>
        <w:ind w:left="345" w:hanging="360"/>
      </w:pPr>
      <w:rPr>
        <w:rFonts w:ascii="Arial" w:eastAsiaTheme="minorHAnsi"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6" w15:restartNumberingAfterBreak="0">
    <w:nsid w:val="46882194"/>
    <w:multiLevelType w:val="hybridMultilevel"/>
    <w:tmpl w:val="09B49B16"/>
    <w:lvl w:ilvl="0" w:tplc="3F30627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7" w15:restartNumberingAfterBreak="0">
    <w:nsid w:val="58E46094"/>
    <w:multiLevelType w:val="hybridMultilevel"/>
    <w:tmpl w:val="0666F1F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Courier New"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Courier New" w:hint="default"/>
      </w:rPr>
    </w:lvl>
    <w:lvl w:ilvl="8" w:tplc="04050005">
      <w:start w:val="1"/>
      <w:numFmt w:val="bullet"/>
      <w:lvlText w:val=""/>
      <w:lvlJc w:val="left"/>
      <w:pPr>
        <w:ind w:left="6481" w:hanging="360"/>
      </w:pPr>
      <w:rPr>
        <w:rFonts w:ascii="Wingdings" w:hAnsi="Wingdings" w:hint="default"/>
      </w:rPr>
    </w:lvl>
  </w:abstractNum>
  <w:abstractNum w:abstractNumId="8" w15:restartNumberingAfterBreak="0">
    <w:nsid w:val="69BC2EA4"/>
    <w:multiLevelType w:val="hybridMultilevel"/>
    <w:tmpl w:val="1D1C3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A004778"/>
    <w:multiLevelType w:val="hybridMultilevel"/>
    <w:tmpl w:val="F41A51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A395D18"/>
    <w:multiLevelType w:val="hybridMultilevel"/>
    <w:tmpl w:val="C9160142"/>
    <w:lvl w:ilvl="0" w:tplc="90F21DCE">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1" w15:restartNumberingAfterBreak="0">
    <w:nsid w:val="6EE815A3"/>
    <w:multiLevelType w:val="hybridMultilevel"/>
    <w:tmpl w:val="F81CF32C"/>
    <w:lvl w:ilvl="0" w:tplc="65A26D1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35045237">
    <w:abstractNumId w:val="0"/>
  </w:num>
  <w:num w:numId="2" w16cid:durableId="2095278849">
    <w:abstractNumId w:val="8"/>
  </w:num>
  <w:num w:numId="3" w16cid:durableId="2103186316">
    <w:abstractNumId w:val="3"/>
  </w:num>
  <w:num w:numId="4" w16cid:durableId="1421947378">
    <w:abstractNumId w:val="10"/>
  </w:num>
  <w:num w:numId="5" w16cid:durableId="1988431405">
    <w:abstractNumId w:val="11"/>
  </w:num>
  <w:num w:numId="6" w16cid:durableId="1896427258">
    <w:abstractNumId w:val="5"/>
  </w:num>
  <w:num w:numId="7" w16cid:durableId="174268579">
    <w:abstractNumId w:val="4"/>
  </w:num>
  <w:num w:numId="8" w16cid:durableId="702826232">
    <w:abstractNumId w:val="1"/>
  </w:num>
  <w:num w:numId="9" w16cid:durableId="792484566">
    <w:abstractNumId w:val="6"/>
  </w:num>
  <w:num w:numId="10" w16cid:durableId="1312562720">
    <w:abstractNumId w:val="2"/>
  </w:num>
  <w:num w:numId="11" w16cid:durableId="1181505212">
    <w:abstractNumId w:val="7"/>
  </w:num>
  <w:num w:numId="12" w16cid:durableId="364256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160A2"/>
    <w:rsid w:val="00026C63"/>
    <w:rsid w:val="00046053"/>
    <w:rsid w:val="00056E6A"/>
    <w:rsid w:val="000741E3"/>
    <w:rsid w:val="00083B4B"/>
    <w:rsid w:val="000A2DA4"/>
    <w:rsid w:val="000B3C18"/>
    <w:rsid w:val="000B3ECB"/>
    <w:rsid w:val="000C419D"/>
    <w:rsid w:val="000E2C64"/>
    <w:rsid w:val="000E458F"/>
    <w:rsid w:val="000F423F"/>
    <w:rsid w:val="0010721B"/>
    <w:rsid w:val="001103F7"/>
    <w:rsid w:val="0012213F"/>
    <w:rsid w:val="00122D8D"/>
    <w:rsid w:val="00141B60"/>
    <w:rsid w:val="00142850"/>
    <w:rsid w:val="00143E7B"/>
    <w:rsid w:val="001472E1"/>
    <w:rsid w:val="00152827"/>
    <w:rsid w:val="00167F18"/>
    <w:rsid w:val="00173734"/>
    <w:rsid w:val="00192BDE"/>
    <w:rsid w:val="001B6B16"/>
    <w:rsid w:val="001C38DE"/>
    <w:rsid w:val="001D0E07"/>
    <w:rsid w:val="001D158E"/>
    <w:rsid w:val="001D1E6C"/>
    <w:rsid w:val="001D5235"/>
    <w:rsid w:val="001D691D"/>
    <w:rsid w:val="001F2445"/>
    <w:rsid w:val="002012CC"/>
    <w:rsid w:val="00225F02"/>
    <w:rsid w:val="00251C1C"/>
    <w:rsid w:val="00254ECF"/>
    <w:rsid w:val="002726E7"/>
    <w:rsid w:val="002A0118"/>
    <w:rsid w:val="002A254E"/>
    <w:rsid w:val="002B7C92"/>
    <w:rsid w:val="002C2749"/>
    <w:rsid w:val="002E0C7B"/>
    <w:rsid w:val="0030474B"/>
    <w:rsid w:val="00331515"/>
    <w:rsid w:val="00350179"/>
    <w:rsid w:val="003577D2"/>
    <w:rsid w:val="00363379"/>
    <w:rsid w:val="00365495"/>
    <w:rsid w:val="0037728A"/>
    <w:rsid w:val="00393351"/>
    <w:rsid w:val="003C0268"/>
    <w:rsid w:val="003C057F"/>
    <w:rsid w:val="003E3B85"/>
    <w:rsid w:val="003F2528"/>
    <w:rsid w:val="003F5ABC"/>
    <w:rsid w:val="00432A70"/>
    <w:rsid w:val="0043419B"/>
    <w:rsid w:val="0046373B"/>
    <w:rsid w:val="00485401"/>
    <w:rsid w:val="00493D8C"/>
    <w:rsid w:val="00494ACB"/>
    <w:rsid w:val="0049637D"/>
    <w:rsid w:val="004C56C1"/>
    <w:rsid w:val="004C672D"/>
    <w:rsid w:val="004D27EC"/>
    <w:rsid w:val="004F3AA9"/>
    <w:rsid w:val="005116A5"/>
    <w:rsid w:val="00512BEF"/>
    <w:rsid w:val="00526090"/>
    <w:rsid w:val="00534491"/>
    <w:rsid w:val="005545CE"/>
    <w:rsid w:val="00557815"/>
    <w:rsid w:val="005702A5"/>
    <w:rsid w:val="00571F26"/>
    <w:rsid w:val="00572CFD"/>
    <w:rsid w:val="00577B57"/>
    <w:rsid w:val="005837B9"/>
    <w:rsid w:val="005923C5"/>
    <w:rsid w:val="00592C1D"/>
    <w:rsid w:val="005A0FA4"/>
    <w:rsid w:val="005A3A49"/>
    <w:rsid w:val="005A4C0C"/>
    <w:rsid w:val="005B2A55"/>
    <w:rsid w:val="005C435F"/>
    <w:rsid w:val="005D105B"/>
    <w:rsid w:val="005E3D23"/>
    <w:rsid w:val="005F776A"/>
    <w:rsid w:val="0060479E"/>
    <w:rsid w:val="0060731F"/>
    <w:rsid w:val="0061127C"/>
    <w:rsid w:val="00616345"/>
    <w:rsid w:val="006374F8"/>
    <w:rsid w:val="00653A86"/>
    <w:rsid w:val="00656822"/>
    <w:rsid w:val="00663C7B"/>
    <w:rsid w:val="00681DA5"/>
    <w:rsid w:val="0068586F"/>
    <w:rsid w:val="00685FF2"/>
    <w:rsid w:val="00693035"/>
    <w:rsid w:val="006B38A2"/>
    <w:rsid w:val="006B49BE"/>
    <w:rsid w:val="006B6E85"/>
    <w:rsid w:val="006C603F"/>
    <w:rsid w:val="006C6743"/>
    <w:rsid w:val="006D428D"/>
    <w:rsid w:val="006E3BFD"/>
    <w:rsid w:val="006E45AE"/>
    <w:rsid w:val="006F6413"/>
    <w:rsid w:val="0070124B"/>
    <w:rsid w:val="0073117A"/>
    <w:rsid w:val="00735C36"/>
    <w:rsid w:val="00743663"/>
    <w:rsid w:val="00752488"/>
    <w:rsid w:val="00771930"/>
    <w:rsid w:val="00784377"/>
    <w:rsid w:val="007A393D"/>
    <w:rsid w:val="007C3195"/>
    <w:rsid w:val="007C40CF"/>
    <w:rsid w:val="007E237F"/>
    <w:rsid w:val="007E65F1"/>
    <w:rsid w:val="007F1FC3"/>
    <w:rsid w:val="007F4FA3"/>
    <w:rsid w:val="008078D2"/>
    <w:rsid w:val="00807D68"/>
    <w:rsid w:val="00847F91"/>
    <w:rsid w:val="008614DF"/>
    <w:rsid w:val="008632A4"/>
    <w:rsid w:val="008647A3"/>
    <w:rsid w:val="00885497"/>
    <w:rsid w:val="00890135"/>
    <w:rsid w:val="0089254F"/>
    <w:rsid w:val="00892BD4"/>
    <w:rsid w:val="008F22C0"/>
    <w:rsid w:val="0090767D"/>
    <w:rsid w:val="0091609C"/>
    <w:rsid w:val="00917CF5"/>
    <w:rsid w:val="0092339C"/>
    <w:rsid w:val="00926549"/>
    <w:rsid w:val="009266E9"/>
    <w:rsid w:val="00955DA0"/>
    <w:rsid w:val="0097077D"/>
    <w:rsid w:val="00970F06"/>
    <w:rsid w:val="00971704"/>
    <w:rsid w:val="009B06BA"/>
    <w:rsid w:val="009E32D6"/>
    <w:rsid w:val="009F2D9C"/>
    <w:rsid w:val="00A04DA8"/>
    <w:rsid w:val="00A161BD"/>
    <w:rsid w:val="00A21CED"/>
    <w:rsid w:val="00A421F2"/>
    <w:rsid w:val="00A57931"/>
    <w:rsid w:val="00A66848"/>
    <w:rsid w:val="00A73133"/>
    <w:rsid w:val="00A73E51"/>
    <w:rsid w:val="00A745C4"/>
    <w:rsid w:val="00A81783"/>
    <w:rsid w:val="00A95A44"/>
    <w:rsid w:val="00A962C0"/>
    <w:rsid w:val="00AA3908"/>
    <w:rsid w:val="00AA4F84"/>
    <w:rsid w:val="00AB28AD"/>
    <w:rsid w:val="00AD2EE9"/>
    <w:rsid w:val="00AE4169"/>
    <w:rsid w:val="00B01C92"/>
    <w:rsid w:val="00B205BA"/>
    <w:rsid w:val="00B20F24"/>
    <w:rsid w:val="00B23900"/>
    <w:rsid w:val="00B40171"/>
    <w:rsid w:val="00B44F4B"/>
    <w:rsid w:val="00B51D94"/>
    <w:rsid w:val="00B53C06"/>
    <w:rsid w:val="00B620E4"/>
    <w:rsid w:val="00B74717"/>
    <w:rsid w:val="00B8270D"/>
    <w:rsid w:val="00B965F4"/>
    <w:rsid w:val="00B97A9C"/>
    <w:rsid w:val="00BA3C88"/>
    <w:rsid w:val="00BB5641"/>
    <w:rsid w:val="00BC6E77"/>
    <w:rsid w:val="00BD02A1"/>
    <w:rsid w:val="00BE1D16"/>
    <w:rsid w:val="00BE29F2"/>
    <w:rsid w:val="00BF56B1"/>
    <w:rsid w:val="00BF5CA1"/>
    <w:rsid w:val="00C241B4"/>
    <w:rsid w:val="00C41758"/>
    <w:rsid w:val="00C43D14"/>
    <w:rsid w:val="00C4704F"/>
    <w:rsid w:val="00C62D13"/>
    <w:rsid w:val="00C63D00"/>
    <w:rsid w:val="00C8558B"/>
    <w:rsid w:val="00C937E8"/>
    <w:rsid w:val="00C97D46"/>
    <w:rsid w:val="00CC2F19"/>
    <w:rsid w:val="00CD11D7"/>
    <w:rsid w:val="00CE1432"/>
    <w:rsid w:val="00CE40CA"/>
    <w:rsid w:val="00CF2A8F"/>
    <w:rsid w:val="00CF6F01"/>
    <w:rsid w:val="00D00046"/>
    <w:rsid w:val="00D100A7"/>
    <w:rsid w:val="00D10971"/>
    <w:rsid w:val="00D14745"/>
    <w:rsid w:val="00D154C6"/>
    <w:rsid w:val="00D2107A"/>
    <w:rsid w:val="00D230ED"/>
    <w:rsid w:val="00D329DD"/>
    <w:rsid w:val="00D33380"/>
    <w:rsid w:val="00D37464"/>
    <w:rsid w:val="00D37705"/>
    <w:rsid w:val="00D43992"/>
    <w:rsid w:val="00D66CD2"/>
    <w:rsid w:val="00D763A0"/>
    <w:rsid w:val="00D8316C"/>
    <w:rsid w:val="00D90AF8"/>
    <w:rsid w:val="00D948FA"/>
    <w:rsid w:val="00D966A5"/>
    <w:rsid w:val="00DB45F4"/>
    <w:rsid w:val="00DC5B7E"/>
    <w:rsid w:val="00E01D17"/>
    <w:rsid w:val="00E17BF0"/>
    <w:rsid w:val="00E27FB5"/>
    <w:rsid w:val="00E53779"/>
    <w:rsid w:val="00E561BC"/>
    <w:rsid w:val="00E677E5"/>
    <w:rsid w:val="00E8710D"/>
    <w:rsid w:val="00E90D9C"/>
    <w:rsid w:val="00E94584"/>
    <w:rsid w:val="00E96C3E"/>
    <w:rsid w:val="00EA1D75"/>
    <w:rsid w:val="00EA39B4"/>
    <w:rsid w:val="00EB7BC3"/>
    <w:rsid w:val="00EB7FC9"/>
    <w:rsid w:val="00EC2399"/>
    <w:rsid w:val="00ED4CDF"/>
    <w:rsid w:val="00EF3E1F"/>
    <w:rsid w:val="00F03B18"/>
    <w:rsid w:val="00F11BF6"/>
    <w:rsid w:val="00F168AF"/>
    <w:rsid w:val="00F34A6A"/>
    <w:rsid w:val="00F4039A"/>
    <w:rsid w:val="00F43B44"/>
    <w:rsid w:val="00F53C17"/>
    <w:rsid w:val="00F55D33"/>
    <w:rsid w:val="00F70880"/>
    <w:rsid w:val="00F83773"/>
    <w:rsid w:val="00F9361B"/>
    <w:rsid w:val="00F96ED1"/>
    <w:rsid w:val="00FB39B8"/>
    <w:rsid w:val="00FB4D3C"/>
    <w:rsid w:val="00FC4E88"/>
    <w:rsid w:val="00FD0861"/>
    <w:rsid w:val="00FE39EC"/>
    <w:rsid w:val="00FE4B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F53C17"/>
    <w:pPr>
      <w:spacing w:after="200" w:line="276" w:lineRule="auto"/>
      <w:ind w:left="720"/>
      <w:contextualSpacing/>
    </w:pPr>
    <w:rPr>
      <w:rFonts w:ascii="Calibri" w:eastAsia="Calibri" w:hAnsi="Calibri" w:cs="Times New Roman"/>
    </w:rPr>
  </w:style>
  <w:style w:type="paragraph" w:styleId="Bezmezer">
    <w:name w:val="No Spacing"/>
    <w:link w:val="BezmezerChar"/>
    <w:uiPriority w:val="1"/>
    <w:qFormat/>
    <w:rsid w:val="006D428D"/>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1"/>
    <w:locked/>
    <w:rsid w:val="006D428D"/>
    <w:rPr>
      <w:rFonts w:ascii="Times New Roman" w:eastAsia="Times New Roman" w:hAnsi="Times New Roman" w:cs="Times New Roman"/>
      <w:sz w:val="24"/>
      <w:szCs w:val="24"/>
      <w:lang w:eastAsia="cs-CZ"/>
    </w:rPr>
  </w:style>
  <w:style w:type="paragraph" w:customStyle="1" w:styleId="pf0">
    <w:name w:val="pf0"/>
    <w:basedOn w:val="Normln"/>
    <w:rsid w:val="004C67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4C672D"/>
    <w:rPr>
      <w:rFonts w:ascii="Segoe UI" w:hAnsi="Segoe UI" w:cs="Segoe UI" w:hint="default"/>
      <w:sz w:val="18"/>
      <w:szCs w:val="18"/>
    </w:rPr>
  </w:style>
  <w:style w:type="paragraph" w:styleId="Revize">
    <w:name w:val="Revision"/>
    <w:hidden/>
    <w:uiPriority w:val="99"/>
    <w:semiHidden/>
    <w:rsid w:val="00F9361B"/>
    <w:pPr>
      <w:spacing w:after="0" w:line="240" w:lineRule="auto"/>
    </w:pPr>
  </w:style>
  <w:style w:type="character" w:styleId="Hypertextovodkaz">
    <w:name w:val="Hyperlink"/>
    <w:basedOn w:val="Standardnpsmoodstavce"/>
    <w:uiPriority w:val="99"/>
    <w:unhideWhenUsed/>
    <w:rsid w:val="00E96C3E"/>
    <w:rPr>
      <w:color w:val="0563C1" w:themeColor="hyperlink"/>
      <w:u w:val="single"/>
    </w:rPr>
  </w:style>
  <w:style w:type="character" w:styleId="Sledovanodkaz">
    <w:name w:val="FollowedHyperlink"/>
    <w:basedOn w:val="Standardnpsmoodstavce"/>
    <w:uiPriority w:val="99"/>
    <w:semiHidden/>
    <w:unhideWhenUsed/>
    <w:rsid w:val="00E96C3E"/>
    <w:rPr>
      <w:color w:val="954F72" w:themeColor="followedHyperlink"/>
      <w:u w:val="single"/>
    </w:rPr>
  </w:style>
  <w:style w:type="character" w:styleId="Nevyeenzmnka">
    <w:name w:val="Unresolved Mention"/>
    <w:basedOn w:val="Standardnpsmoodstavce"/>
    <w:uiPriority w:val="99"/>
    <w:semiHidden/>
    <w:unhideWhenUsed/>
    <w:rsid w:val="006C603F"/>
    <w:rPr>
      <w:color w:val="605E5C"/>
      <w:shd w:val="clear" w:color="auto" w:fill="E1DFDD"/>
    </w:rPr>
  </w:style>
  <w:style w:type="character" w:styleId="Odkaznakoment">
    <w:name w:val="annotation reference"/>
    <w:basedOn w:val="Standardnpsmoodstavce"/>
    <w:uiPriority w:val="99"/>
    <w:semiHidden/>
    <w:unhideWhenUsed/>
    <w:rsid w:val="006C6743"/>
    <w:rPr>
      <w:sz w:val="16"/>
      <w:szCs w:val="16"/>
    </w:rPr>
  </w:style>
  <w:style w:type="paragraph" w:styleId="Textkomente">
    <w:name w:val="annotation text"/>
    <w:basedOn w:val="Normln"/>
    <w:link w:val="TextkomenteChar"/>
    <w:uiPriority w:val="99"/>
    <w:semiHidden/>
    <w:unhideWhenUsed/>
    <w:rsid w:val="006C6743"/>
    <w:pPr>
      <w:spacing w:line="240" w:lineRule="auto"/>
    </w:pPr>
    <w:rPr>
      <w:sz w:val="20"/>
      <w:szCs w:val="20"/>
    </w:rPr>
  </w:style>
  <w:style w:type="character" w:customStyle="1" w:styleId="TextkomenteChar">
    <w:name w:val="Text komentáře Char"/>
    <w:basedOn w:val="Standardnpsmoodstavce"/>
    <w:link w:val="Textkomente"/>
    <w:uiPriority w:val="99"/>
    <w:semiHidden/>
    <w:rsid w:val="006C6743"/>
    <w:rPr>
      <w:sz w:val="20"/>
      <w:szCs w:val="20"/>
    </w:rPr>
  </w:style>
  <w:style w:type="paragraph" w:styleId="Pedmtkomente">
    <w:name w:val="annotation subject"/>
    <w:basedOn w:val="Textkomente"/>
    <w:next w:val="Textkomente"/>
    <w:link w:val="PedmtkomenteChar"/>
    <w:uiPriority w:val="99"/>
    <w:semiHidden/>
    <w:unhideWhenUsed/>
    <w:rsid w:val="006C6743"/>
    <w:rPr>
      <w:b/>
      <w:bCs/>
    </w:rPr>
  </w:style>
  <w:style w:type="character" w:customStyle="1" w:styleId="PedmtkomenteChar">
    <w:name w:val="Předmět komentáře Char"/>
    <w:basedOn w:val="TextkomenteChar"/>
    <w:link w:val="Pedmtkomente"/>
    <w:uiPriority w:val="99"/>
    <w:semiHidden/>
    <w:rsid w:val="006C67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23319">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346860038">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 w:id="1714889220">
      <w:bodyDiv w:val="1"/>
      <w:marLeft w:val="0"/>
      <w:marRight w:val="0"/>
      <w:marTop w:val="0"/>
      <w:marBottom w:val="0"/>
      <w:divBdr>
        <w:top w:val="none" w:sz="0" w:space="0" w:color="auto"/>
        <w:left w:val="none" w:sz="0" w:space="0" w:color="auto"/>
        <w:bottom w:val="none" w:sz="0" w:space="0" w:color="auto"/>
        <w:right w:val="none" w:sz="0" w:space="0" w:color="auto"/>
      </w:divBdr>
    </w:div>
    <w:div w:id="184497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i.gov.cz/inspektori-ceske-obchodni-inspekce-kontrolovali-prazskou-trznici-sapa-se-zavaznym-podezrenim-na-padelky-zajistili-1-683-kusu-vyrobku-v-cenach-originalu-za-3-850-470-korun/" TargetMode="External"/><Relationship Id="rId4" Type="http://schemas.openxmlformats.org/officeDocument/2006/relationships/settings" Target="settings.xml"/><Relationship Id="rId9" Type="http://schemas.openxmlformats.org/officeDocument/2006/relationships/hyperlink" Target="https://coi.gov.cz/ceska-obchodni-inspekce-opet-uderila-na-trznici-v-hatich-v-rukou-inspektoru-skoncilo-1-978-kusu-padelku-za-bezmala-17-milionu-korun/"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irthova\Documents\Falza%20-%20Kirthov&#225;\2026\2Q%202026\Zaji&#353;t&#283;n&#233;%20zbo&#382;&#237;%20sortimet%202Q%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irthova\Documents\Falza%20-%20Kirthov&#225;\2026\2Q%202026\SQL%2017.7.2026\FAL%20ZNA&#268;01-souhrnDleZna&#269;%20OdDoProR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List1!$E$2:$E$7</c:f>
              <c:strCache>
                <c:ptCount val="6"/>
                <c:pt idx="0">
                  <c:v>Textil</c:v>
                </c:pt>
                <c:pt idx="1">
                  <c:v>Obuv a kožená galanterie</c:v>
                </c:pt>
                <c:pt idx="2">
                  <c:v>Hračky</c:v>
                </c:pt>
                <c:pt idx="3">
                  <c:v>Hodinky a klenoty</c:v>
                </c:pt>
                <c:pt idx="4">
                  <c:v>Audio</c:v>
                </c:pt>
                <c:pt idx="5">
                  <c:v>Ostatní</c:v>
                </c:pt>
              </c:strCache>
            </c:strRef>
          </c:cat>
          <c:val>
            <c:numRef>
              <c:f>List1!$F$2:$F$7</c:f>
              <c:numCache>
                <c:formatCode>General</c:formatCode>
                <c:ptCount val="6"/>
                <c:pt idx="0">
                  <c:v>7539</c:v>
                </c:pt>
                <c:pt idx="1">
                  <c:v>3074</c:v>
                </c:pt>
                <c:pt idx="2">
                  <c:v>2721</c:v>
                </c:pt>
                <c:pt idx="3">
                  <c:v>269</c:v>
                </c:pt>
                <c:pt idx="4">
                  <c:v>268</c:v>
                </c:pt>
                <c:pt idx="5">
                  <c:v>483</c:v>
                </c:pt>
              </c:numCache>
            </c:numRef>
          </c:val>
          <c:extLst>
            <c:ext xmlns:c16="http://schemas.microsoft.com/office/drawing/2014/chart" uri="{C3380CC4-5D6E-409C-BE32-E72D297353CC}">
              <c16:uniqueId val="{00000000-20D2-4B2C-931F-4F5815701D97}"/>
            </c:ext>
          </c:extLst>
        </c:ser>
        <c:dLbls>
          <c:dLblPos val="outEnd"/>
          <c:showLegendKey val="0"/>
          <c:showVal val="1"/>
          <c:showCatName val="0"/>
          <c:showSerName val="0"/>
          <c:showPercent val="0"/>
          <c:showBubbleSize val="0"/>
        </c:dLbls>
        <c:gapWidth val="219"/>
        <c:overlap val="-27"/>
        <c:axId val="748237400"/>
        <c:axId val="748237760"/>
      </c:barChart>
      <c:catAx>
        <c:axId val="748237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48237760"/>
        <c:crosses val="autoZero"/>
        <c:auto val="1"/>
        <c:lblAlgn val="ctr"/>
        <c:lblOffset val="100"/>
        <c:noMultiLvlLbl val="0"/>
      </c:catAx>
      <c:valAx>
        <c:axId val="74823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482374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Data!$A$2:$A$9</c:f>
              <c:strCache>
                <c:ptCount val="8"/>
                <c:pt idx="0">
                  <c:v>Nike</c:v>
                </c:pt>
                <c:pt idx="1">
                  <c:v>Louis Vuitton</c:v>
                </c:pt>
                <c:pt idx="2">
                  <c:v>Liebeskind Berlin</c:v>
                </c:pt>
                <c:pt idx="3">
                  <c:v>FIFA</c:v>
                </c:pt>
                <c:pt idx="4">
                  <c:v>Tommy Hilfiger</c:v>
                </c:pt>
                <c:pt idx="5">
                  <c:v>Calvin Klein</c:v>
                </c:pt>
                <c:pt idx="6">
                  <c:v>Polo</c:v>
                </c:pt>
                <c:pt idx="7">
                  <c:v>PokémonWizards</c:v>
                </c:pt>
              </c:strCache>
            </c:strRef>
          </c:cat>
          <c:val>
            <c:numRef>
              <c:f>Data!$B$2:$B$9</c:f>
              <c:numCache>
                <c:formatCode>General</c:formatCode>
                <c:ptCount val="8"/>
                <c:pt idx="0">
                  <c:v>2969</c:v>
                </c:pt>
                <c:pt idx="1">
                  <c:v>689</c:v>
                </c:pt>
                <c:pt idx="2">
                  <c:v>662</c:v>
                </c:pt>
                <c:pt idx="3">
                  <c:v>634</c:v>
                </c:pt>
                <c:pt idx="4">
                  <c:v>584</c:v>
                </c:pt>
                <c:pt idx="5">
                  <c:v>557</c:v>
                </c:pt>
                <c:pt idx="6">
                  <c:v>464</c:v>
                </c:pt>
                <c:pt idx="7">
                  <c:v>458</c:v>
                </c:pt>
              </c:numCache>
            </c:numRef>
          </c:val>
          <c:extLst>
            <c:ext xmlns:c16="http://schemas.microsoft.com/office/drawing/2014/chart" uri="{C3380CC4-5D6E-409C-BE32-E72D297353CC}">
              <c16:uniqueId val="{00000000-BE11-42D4-B672-65F1E695159E}"/>
            </c:ext>
          </c:extLst>
        </c:ser>
        <c:dLbls>
          <c:dLblPos val="outEnd"/>
          <c:showLegendKey val="0"/>
          <c:showVal val="1"/>
          <c:showCatName val="0"/>
          <c:showSerName val="0"/>
          <c:showPercent val="0"/>
          <c:showBubbleSize val="0"/>
        </c:dLbls>
        <c:gapWidth val="219"/>
        <c:overlap val="-27"/>
        <c:axId val="798713792"/>
        <c:axId val="798714512"/>
      </c:barChart>
      <c:catAx>
        <c:axId val="79871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798714512"/>
        <c:crosses val="autoZero"/>
        <c:auto val="1"/>
        <c:lblAlgn val="ctr"/>
        <c:lblOffset val="100"/>
        <c:noMultiLvlLbl val="0"/>
      </c:catAx>
      <c:valAx>
        <c:axId val="79871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crossAx val="798713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744</Words>
  <Characters>4391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18</cp:revision>
  <cp:lastPrinted>2025-01-14T15:40:00Z</cp:lastPrinted>
  <dcterms:created xsi:type="dcterms:W3CDTF">2026-07-29T07:47:00Z</dcterms:created>
  <dcterms:modified xsi:type="dcterms:W3CDTF">2026-09-09T12:08:00Z</dcterms:modified>
</cp:coreProperties>
</file>