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6C458" w14:textId="252A75CE" w:rsidR="003E3B85" w:rsidRPr="00970F06" w:rsidRDefault="00D0539F" w:rsidP="003E3B85">
      <w:pPr>
        <w:spacing w:before="240"/>
        <w:jc w:val="right"/>
        <w:rPr>
          <w:rFonts w:ascii="Arial" w:hAnsi="Arial" w:cs="Arial"/>
          <w:color w:val="2658A5"/>
          <w:sz w:val="48"/>
          <w:szCs w:val="48"/>
        </w:rPr>
      </w:pPr>
      <w:r w:rsidRPr="00252EB5">
        <w:rPr>
          <w:rFonts w:ascii="Arial" w:eastAsia="Calibri" w:hAnsi="Arial" w:cs="Arial"/>
          <w:b/>
          <w:bCs/>
          <w:sz w:val="20"/>
          <w:szCs w:val="20"/>
          <w:lang w:val="en-GB"/>
        </w:rPr>
        <w:drawing>
          <wp:anchor distT="0" distB="0" distL="114300" distR="114300" simplePos="0" relativeHeight="251659264" behindDoc="0" locked="0" layoutInCell="1" allowOverlap="1" wp14:anchorId="68F613AF" wp14:editId="52C9F75B">
            <wp:simplePos x="0" y="0"/>
            <wp:positionH relativeFrom="margin">
              <wp:posOffset>0</wp:posOffset>
            </wp:positionH>
            <wp:positionV relativeFrom="paragraph">
              <wp:posOffset>56515</wp:posOffset>
            </wp:positionV>
            <wp:extent cx="2695575" cy="511379"/>
            <wp:effectExtent l="0" t="0" r="0" b="3175"/>
            <wp:wrapNone/>
            <wp:docPr id="1284560963" name="Obrázek 1" descr="Obsah obrázku Písmo, Grafika, text,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60963" name="Obrázek 1" descr="Obsah obrázku Písmo, Grafika, text, snímek obrazovky&#10;&#10;Obsah generovaný pomocí AI může být nesprávn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5575" cy="511379"/>
                    </a:xfrm>
                    <a:prstGeom prst="rect">
                      <a:avLst/>
                    </a:prstGeom>
                    <a:noFill/>
                    <a:ln>
                      <a:noFill/>
                    </a:ln>
                  </pic:spPr>
                </pic:pic>
              </a:graphicData>
            </a:graphic>
            <wp14:sizeRelH relativeFrom="page">
              <wp14:pctWidth>0</wp14:pctWidth>
            </wp14:sizeRelH>
            <wp14:sizeRelV relativeFrom="page">
              <wp14:pctHeight>0</wp14:pctHeight>
            </wp14:sizeRelV>
          </wp:anchor>
        </w:drawing>
      </w:r>
      <w:r w:rsidR="00BE02CF">
        <w:rPr>
          <w:rFonts w:ascii="Arial" w:hAnsi="Arial" w:cs="Arial"/>
          <w:color w:val="2658A5"/>
          <w:sz w:val="48"/>
          <w:szCs w:val="48"/>
        </w:rPr>
        <w:t>PRESS RELEASE</w:t>
      </w:r>
    </w:p>
    <w:p w14:paraId="7BDC8DE0" w14:textId="77777777" w:rsidR="003E3B85" w:rsidRDefault="003E3B85" w:rsidP="003E3B85">
      <w:pPr>
        <w:spacing w:before="240"/>
        <w:rPr>
          <w:rFonts w:ascii="Montserrat" w:hAnsi="Montserrat"/>
          <w:b/>
          <w:bCs/>
          <w:color w:val="2658A5"/>
          <w:sz w:val="32"/>
          <w:szCs w:val="32"/>
        </w:rPr>
      </w:pPr>
    </w:p>
    <w:p w14:paraId="13984055" w14:textId="446AF9A5" w:rsidR="00DB1A08" w:rsidRPr="00DB1A08" w:rsidRDefault="00DB1A08" w:rsidP="00DB1A08">
      <w:pPr>
        <w:pStyle w:val="Default"/>
        <w:spacing w:after="200"/>
        <w:jc w:val="both"/>
        <w:rPr>
          <w:rFonts w:eastAsiaTheme="minorHAnsi"/>
          <w:b/>
          <w:bCs/>
          <w:color w:val="2658A5"/>
          <w:sz w:val="32"/>
          <w:szCs w:val="32"/>
          <w:lang w:val="en-GB"/>
        </w:rPr>
      </w:pPr>
      <w:r w:rsidRPr="00DB1A08">
        <w:rPr>
          <w:rFonts w:eastAsiaTheme="minorHAnsi"/>
          <w:b/>
          <w:bCs/>
          <w:color w:val="2658A5"/>
          <w:sz w:val="32"/>
          <w:szCs w:val="32"/>
          <w:lang w:val="en-GB"/>
        </w:rPr>
        <w:t>C</w:t>
      </w:r>
      <w:r w:rsidR="004305B0" w:rsidRPr="004305B0">
        <w:rPr>
          <w:rFonts w:eastAsiaTheme="minorHAnsi"/>
          <w:b/>
          <w:bCs/>
          <w:color w:val="2658A5"/>
          <w:sz w:val="32"/>
          <w:szCs w:val="32"/>
          <w:lang w:val="en-GB"/>
        </w:rPr>
        <w:t>TIA</w:t>
      </w:r>
      <w:r w:rsidRPr="00DB1A08">
        <w:rPr>
          <w:rFonts w:eastAsiaTheme="minorHAnsi"/>
          <w:b/>
          <w:bCs/>
          <w:color w:val="2658A5"/>
          <w:sz w:val="32"/>
          <w:szCs w:val="32"/>
          <w:lang w:val="en-GB"/>
        </w:rPr>
        <w:t xml:space="preserve"> identified other cases of suspected discrimination against consumers in 2Q of this year</w:t>
      </w:r>
    </w:p>
    <w:p w14:paraId="52E8B67F" w14:textId="77777777" w:rsidR="00DB1A08" w:rsidRPr="00DB1A08" w:rsidRDefault="00DB1A08" w:rsidP="00DB1A08">
      <w:pPr>
        <w:pStyle w:val="Default"/>
        <w:spacing w:after="200"/>
        <w:jc w:val="both"/>
        <w:rPr>
          <w:sz w:val="20"/>
          <w:szCs w:val="20"/>
          <w:lang w:val="en-GB"/>
        </w:rPr>
      </w:pPr>
      <w:r w:rsidRPr="00DB1A08">
        <w:rPr>
          <w:sz w:val="20"/>
          <w:szCs w:val="20"/>
          <w:lang w:val="en-GB"/>
        </w:rPr>
        <w:t xml:space="preserve">(Prague, 3 September 2026) </w:t>
      </w:r>
      <w:r w:rsidRPr="00DB1A08">
        <w:rPr>
          <w:b/>
          <w:bCs/>
          <w:sz w:val="20"/>
          <w:szCs w:val="20"/>
          <w:lang w:val="en-GB"/>
        </w:rPr>
        <w:t>During the second quarter of this year, the Czech Trade Inspection Authority inspected vendors to see whether they discriminate against consumers. It carried out a total of 14 inspections. Of these, 5 inspections (i.e. 35.71 per cent) revealed breaches of legal regulations within the CTIA’s scope, whilst in 2 inspections, there were grounds to suspect some form of discriminatory conduct.</w:t>
      </w:r>
    </w:p>
    <w:p w14:paraId="44AE1A20" w14:textId="77777777" w:rsidR="00DB1A08" w:rsidRPr="00DB1A08" w:rsidRDefault="00DB1A08" w:rsidP="00DB1A08">
      <w:pPr>
        <w:pStyle w:val="Default"/>
        <w:spacing w:after="200"/>
        <w:jc w:val="both"/>
        <w:rPr>
          <w:sz w:val="20"/>
          <w:szCs w:val="20"/>
          <w:lang w:val="en-GB"/>
        </w:rPr>
      </w:pPr>
      <w:r w:rsidRPr="00DB1A08">
        <w:rPr>
          <w:sz w:val="20"/>
          <w:szCs w:val="20"/>
          <w:lang w:val="en-GB"/>
        </w:rPr>
        <w:t xml:space="preserve">Between 1 April and 30 June 2026, the Czech Trade Inspection Authority carried out a periodic inspection activity focused on compliance with Section 6 of Act No. 634/1992 Coll., on Consumer Protection, i.e. on verifying whether sellers were discriminating against consumers. The inspections also included verifying compliance with other obligations of sellers arising from legal regulations, the observance of which falls within the scope of the CTIA’s surveillance activities. </w:t>
      </w:r>
      <w:r w:rsidRPr="00DB1A08">
        <w:rPr>
          <w:b/>
          <w:bCs/>
          <w:sz w:val="20"/>
          <w:szCs w:val="20"/>
          <w:lang w:val="en-GB"/>
        </w:rPr>
        <w:t>Suspected infringements of Section 6 of Act No. 634/1992 Coll.</w:t>
      </w:r>
      <w:r w:rsidRPr="00DB1A08">
        <w:rPr>
          <w:sz w:val="20"/>
          <w:szCs w:val="20"/>
          <w:lang w:val="en-GB"/>
        </w:rPr>
        <w:t>, prohibiting sellers from discriminating against consumers when selling products or providing services</w:t>
      </w:r>
    </w:p>
    <w:p w14:paraId="662D1E5B" w14:textId="77777777" w:rsidR="00DB1A08" w:rsidRPr="00DB1A08" w:rsidRDefault="00DB1A08" w:rsidP="00DB1A08">
      <w:pPr>
        <w:pStyle w:val="Default"/>
        <w:spacing w:after="200"/>
        <w:jc w:val="both"/>
        <w:rPr>
          <w:sz w:val="20"/>
          <w:szCs w:val="20"/>
          <w:lang w:val="en-GB"/>
        </w:rPr>
      </w:pPr>
      <w:r w:rsidRPr="00DB1A08">
        <w:rPr>
          <w:sz w:val="20"/>
          <w:szCs w:val="20"/>
          <w:lang w:val="en-GB"/>
        </w:rPr>
        <w:t xml:space="preserve">(i.e. it prohibits less favourable treatment in comparable situations of different persons based on their race, ethnic origin, nationality, gender, sexual orientation, age, disability, faith, religious belief or philosophy of life, or for any other reason), </w:t>
      </w:r>
      <w:r w:rsidRPr="00DB1A08">
        <w:rPr>
          <w:b/>
          <w:bCs/>
          <w:sz w:val="20"/>
          <w:szCs w:val="20"/>
          <w:lang w:val="en-GB"/>
        </w:rPr>
        <w:t>was identified by inspectors in a total of 2 inspections (14.29 per cent of the total number of inspections carried out).</w:t>
      </w:r>
      <w:r w:rsidRPr="00DB1A08">
        <w:rPr>
          <w:sz w:val="20"/>
          <w:szCs w:val="20"/>
          <w:lang w:val="en-GB"/>
        </w:rPr>
        <w:t xml:space="preserve"> </w:t>
      </w:r>
    </w:p>
    <w:p w14:paraId="6BF27601" w14:textId="77777777" w:rsidR="00DB1A08" w:rsidRPr="00DB1A08" w:rsidRDefault="00DB1A08" w:rsidP="00DB1A08">
      <w:pPr>
        <w:pStyle w:val="Default"/>
        <w:spacing w:after="200"/>
        <w:jc w:val="both"/>
        <w:rPr>
          <w:sz w:val="20"/>
          <w:szCs w:val="20"/>
          <w:lang w:val="en-GB"/>
        </w:rPr>
      </w:pPr>
      <w:r w:rsidRPr="00DB1A08">
        <w:rPr>
          <w:sz w:val="20"/>
          <w:szCs w:val="20"/>
          <w:lang w:val="en-GB"/>
        </w:rPr>
        <w:t>Both inspections in which a suspected breach of the prohibition on consumer discrimination was identified were initiated based on complaints from consumers. In one case, this involved a restriction on access to apartment rentals based on ethnic origin or nationality. In another case, sex-based discriminatory conduct was identified, consisting of access to ladies’ toilets being conditional upon presenting a code from a receipt at one of the premises, whilst the gents’ toilets were accessible without restriction.</w:t>
      </w:r>
    </w:p>
    <w:p w14:paraId="4FA5E23F" w14:textId="77777777" w:rsidR="00DB1A08" w:rsidRPr="00DB1A08" w:rsidRDefault="00DB1A08" w:rsidP="00DB1A08">
      <w:pPr>
        <w:pStyle w:val="Default"/>
        <w:spacing w:after="200"/>
        <w:jc w:val="both"/>
        <w:rPr>
          <w:sz w:val="20"/>
          <w:szCs w:val="20"/>
          <w:lang w:val="en-GB"/>
        </w:rPr>
      </w:pPr>
      <w:r w:rsidRPr="00DB1A08">
        <w:rPr>
          <w:sz w:val="20"/>
          <w:szCs w:val="20"/>
          <w:lang w:val="en-GB"/>
        </w:rPr>
        <w:t xml:space="preserve">In addition to focusing on discrimination, the inspection activity also involved </w:t>
      </w:r>
      <w:proofErr w:type="spellStart"/>
      <w:r w:rsidRPr="00DB1A08">
        <w:rPr>
          <w:sz w:val="20"/>
          <w:szCs w:val="20"/>
          <w:lang w:val="en-GB"/>
        </w:rPr>
        <w:t>focusiung</w:t>
      </w:r>
      <w:proofErr w:type="spellEnd"/>
      <w:r w:rsidRPr="00DB1A08">
        <w:rPr>
          <w:sz w:val="20"/>
          <w:szCs w:val="20"/>
          <w:lang w:val="en-GB"/>
        </w:rPr>
        <w:t xml:space="preserve"> on the compliance with other obligations arising from the Act on Consumer Protection and other legal regulations. </w:t>
      </w:r>
      <w:r w:rsidRPr="00DB1A08">
        <w:rPr>
          <w:b/>
          <w:bCs/>
          <w:sz w:val="20"/>
          <w:szCs w:val="20"/>
          <w:lang w:val="en-GB"/>
        </w:rPr>
        <w:t>Breaches of other provisions of the Act on Consumer Protection</w:t>
      </w:r>
      <w:r w:rsidRPr="00DB1A08">
        <w:rPr>
          <w:sz w:val="20"/>
          <w:szCs w:val="20"/>
          <w:lang w:val="en-GB"/>
        </w:rPr>
        <w:t xml:space="preserve"> were identified </w:t>
      </w:r>
      <w:r w:rsidRPr="00DB1A08">
        <w:rPr>
          <w:b/>
          <w:bCs/>
          <w:sz w:val="20"/>
          <w:szCs w:val="20"/>
          <w:lang w:val="en-GB"/>
        </w:rPr>
        <w:t>in 5 cases</w:t>
      </w:r>
      <w:r w:rsidRPr="00DB1A08">
        <w:rPr>
          <w:sz w:val="20"/>
          <w:szCs w:val="20"/>
          <w:lang w:val="en-GB"/>
        </w:rPr>
        <w:t xml:space="preserve">. Of these, </w:t>
      </w:r>
      <w:r w:rsidRPr="00DB1A08">
        <w:rPr>
          <w:b/>
          <w:bCs/>
          <w:sz w:val="20"/>
          <w:szCs w:val="20"/>
          <w:lang w:val="en-GB"/>
        </w:rPr>
        <w:t>infringements of Section 12</w:t>
      </w:r>
      <w:r w:rsidRPr="00DB1A08">
        <w:rPr>
          <w:sz w:val="20"/>
          <w:szCs w:val="20"/>
          <w:lang w:val="en-GB"/>
        </w:rPr>
        <w:t xml:space="preserve"> were detected in two cases, as the sellers failed to inform consumers of the prices of the goods on offer or services provided in accordance with pricing regulations. Furthermore, </w:t>
      </w:r>
      <w:r w:rsidRPr="00DB1A08">
        <w:rPr>
          <w:b/>
          <w:bCs/>
          <w:sz w:val="20"/>
          <w:szCs w:val="20"/>
          <w:lang w:val="en-GB"/>
        </w:rPr>
        <w:t>infringements of Section 16(1)</w:t>
      </w:r>
      <w:r w:rsidRPr="00DB1A08">
        <w:rPr>
          <w:sz w:val="20"/>
          <w:szCs w:val="20"/>
          <w:lang w:val="en-GB"/>
        </w:rPr>
        <w:t xml:space="preserve"> were identified in two cases, as the sellers failed to issue a receipt for the purchase of goods or provision of services upon request by consumers. Furthermore, in one case, </w:t>
      </w:r>
      <w:r w:rsidRPr="00DB1A08">
        <w:rPr>
          <w:b/>
          <w:bCs/>
          <w:sz w:val="20"/>
          <w:szCs w:val="20"/>
          <w:lang w:val="en-GB"/>
        </w:rPr>
        <w:t>shortcomings in compliance with the principles of fair trading</w:t>
      </w:r>
      <w:r w:rsidRPr="00DB1A08">
        <w:rPr>
          <w:sz w:val="20"/>
          <w:szCs w:val="20"/>
          <w:lang w:val="en-GB"/>
        </w:rPr>
        <w:t xml:space="preserve"> were identified within the meaning of </w:t>
      </w:r>
      <w:r w:rsidRPr="00DB1A08">
        <w:rPr>
          <w:b/>
          <w:bCs/>
          <w:sz w:val="20"/>
          <w:szCs w:val="20"/>
          <w:lang w:val="en-GB"/>
        </w:rPr>
        <w:t>Section 3(1)(c)</w:t>
      </w:r>
      <w:r w:rsidRPr="00DB1A08">
        <w:rPr>
          <w:sz w:val="20"/>
          <w:szCs w:val="20"/>
          <w:lang w:val="en-GB"/>
        </w:rPr>
        <w:t>, under which the seller is obliged to sell products and provide services at prices agreed in accordance with pricing regulations and to charge and round off prices correctly.</w:t>
      </w:r>
    </w:p>
    <w:p w14:paraId="29E57BA8" w14:textId="77777777" w:rsidR="00DB1A08" w:rsidRPr="00DB1A08" w:rsidRDefault="00DB1A08" w:rsidP="00DB1A08">
      <w:pPr>
        <w:pStyle w:val="Default"/>
        <w:spacing w:after="200"/>
        <w:jc w:val="both"/>
        <w:rPr>
          <w:sz w:val="20"/>
          <w:szCs w:val="20"/>
          <w:lang w:val="en-GB"/>
        </w:rPr>
      </w:pPr>
      <w:r w:rsidRPr="00DB1A08">
        <w:rPr>
          <w:sz w:val="20"/>
          <w:szCs w:val="20"/>
          <w:lang w:val="en-GB"/>
        </w:rPr>
        <w:t xml:space="preserve">Breaches of other legal regulations were identified in two cases within the inspection activity; specifically, these concerned breaches of the Act on Inspection and the Act on Packaging. In total, therefore, nine cases of breaches of legal regulations were identified within the inspection activity. </w:t>
      </w:r>
    </w:p>
    <w:p w14:paraId="63C59DAB" w14:textId="77777777" w:rsidR="00DB1A08" w:rsidRPr="00DB1A08" w:rsidRDefault="00DB1A08" w:rsidP="00DB1A08">
      <w:pPr>
        <w:pStyle w:val="Default"/>
        <w:spacing w:after="200"/>
        <w:jc w:val="both"/>
        <w:rPr>
          <w:sz w:val="20"/>
          <w:szCs w:val="20"/>
          <w:lang w:val="en-GB"/>
        </w:rPr>
      </w:pPr>
      <w:r w:rsidRPr="00DB1A08">
        <w:rPr>
          <w:sz w:val="20"/>
          <w:szCs w:val="20"/>
          <w:lang w:val="en-GB"/>
        </w:rPr>
        <w:t xml:space="preserve">Based on the identified breaches of legal regulations falling within the surveillance scope of the CTIA, eight fines totalling 166,000 CZK came into force </w:t>
      </w:r>
      <w:r w:rsidRPr="00DB1A08">
        <w:rPr>
          <w:b/>
          <w:bCs/>
          <w:sz w:val="20"/>
          <w:szCs w:val="20"/>
          <w:lang w:val="en-GB"/>
        </w:rPr>
        <w:t>1 April 2026 to 30 June 2026, 8 fines totalling CZK 166,000 became effective, of which 6 fines totalling CZK 146,000 were imposed in connection with proven discriminatory conduct.</w:t>
      </w:r>
      <w:r w:rsidRPr="00DB1A08">
        <w:rPr>
          <w:sz w:val="20"/>
          <w:szCs w:val="20"/>
          <w:lang w:val="en-GB"/>
        </w:rPr>
        <w:t xml:space="preserve"> The list also includes penalties for discriminatory conduct identified within inspections initiated in previous periods. In the case of one inspection initiated last year, the discriminatory conduct identified was resolved by mutual agreement.</w:t>
      </w:r>
    </w:p>
    <w:p w14:paraId="2F3E8775" w14:textId="77777777" w:rsidR="00DB1A08" w:rsidRPr="00DB1A08" w:rsidRDefault="00DB1A08" w:rsidP="00DB1A08">
      <w:pPr>
        <w:pStyle w:val="Default"/>
        <w:spacing w:after="200"/>
        <w:jc w:val="both"/>
        <w:rPr>
          <w:sz w:val="20"/>
          <w:szCs w:val="20"/>
          <w:lang w:val="en-GB"/>
        </w:rPr>
      </w:pPr>
      <w:r w:rsidRPr="00DB1A08">
        <w:rPr>
          <w:sz w:val="20"/>
          <w:szCs w:val="20"/>
          <w:lang w:val="en-GB"/>
        </w:rPr>
        <w:lastRenderedPageBreak/>
        <w:t>The Czech Trade Inspection Authority includes inspections focusing on any form of discriminatory conduct towards consumers as part of its regular inspection activities. Given the seriousness of the impact on consumers, the CTIA will continue to devote due attention to this issue.</w:t>
      </w:r>
    </w:p>
    <w:p w14:paraId="1A4FCBDA" w14:textId="0C0AC0EF" w:rsidR="00F84AB7" w:rsidRPr="004305B0" w:rsidRDefault="00F84AB7" w:rsidP="00DB1A08">
      <w:pPr>
        <w:pStyle w:val="Default"/>
        <w:spacing w:after="200"/>
        <w:jc w:val="both"/>
        <w:rPr>
          <w:b/>
          <w:bCs/>
          <w:sz w:val="20"/>
          <w:szCs w:val="20"/>
          <w:lang w:val="en-GB"/>
        </w:rPr>
      </w:pPr>
    </w:p>
    <w:sectPr w:rsidR="00F84AB7" w:rsidRPr="004305B0" w:rsidSect="00663C7B">
      <w:headerReference w:type="default" r:id="rId9"/>
      <w:footerReference w:type="default" r:id="rId10"/>
      <w:pgSz w:w="11906" w:h="16838"/>
      <w:pgMar w:top="1134" w:right="1417" w:bottom="1701"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3FB6E" w14:textId="77777777" w:rsidR="007D10CD" w:rsidRDefault="007D10CD" w:rsidP="00807D68">
      <w:pPr>
        <w:spacing w:after="0" w:line="240" w:lineRule="auto"/>
      </w:pPr>
      <w:r>
        <w:separator/>
      </w:r>
    </w:p>
  </w:endnote>
  <w:endnote w:type="continuationSeparator" w:id="0">
    <w:p w14:paraId="2E69179B" w14:textId="77777777" w:rsidR="007D10CD" w:rsidRDefault="007D10CD" w:rsidP="00807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BE0E3" w14:textId="77777777" w:rsidR="00067167" w:rsidRPr="000B3C18" w:rsidRDefault="00067167" w:rsidP="00067167">
    <w:pPr>
      <w:spacing w:line="276" w:lineRule="auto"/>
      <w:ind w:left="5664" w:firstLine="708"/>
      <w:rPr>
        <w:rFonts w:ascii="Arial" w:hAnsi="Arial" w:cs="Arial"/>
        <w:bCs/>
        <w:color w:val="2658A5"/>
        <w:sz w:val="18"/>
        <w:szCs w:val="18"/>
      </w:rPr>
    </w:pPr>
    <w:r w:rsidRPr="000B3C18">
      <w:rPr>
        <w:rFonts w:ascii="Arial" w:hAnsi="Arial" w:cs="Arial"/>
        <w:noProof/>
        <w:color w:val="2658A5"/>
        <w:sz w:val="18"/>
        <w:szCs w:val="18"/>
        <w:lang w:eastAsia="cs-CZ"/>
      </w:rPr>
      <mc:AlternateContent>
        <mc:Choice Requires="wps">
          <w:drawing>
            <wp:anchor distT="0" distB="0" distL="114300" distR="114300" simplePos="0" relativeHeight="251659264" behindDoc="1" locked="0" layoutInCell="1" allowOverlap="1" wp14:anchorId="4E63BB38" wp14:editId="63124169">
              <wp:simplePos x="0" y="0"/>
              <wp:positionH relativeFrom="column">
                <wp:posOffset>3472180</wp:posOffset>
              </wp:positionH>
              <wp:positionV relativeFrom="paragraph">
                <wp:posOffset>10160</wp:posOffset>
              </wp:positionV>
              <wp:extent cx="2361564" cy="653414"/>
              <wp:effectExtent l="0" t="0" r="1270" b="127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4" cy="653414"/>
                      </a:xfrm>
                      <a:prstGeom prst="rect">
                        <a:avLst/>
                      </a:prstGeom>
                      <a:solidFill>
                        <a:srgbClr val="FFFFFF"/>
                      </a:solidFill>
                      <a:ln w="9525">
                        <a:noFill/>
                        <a:miter lim="800000"/>
                        <a:headEnd/>
                        <a:tailEnd/>
                      </a:ln>
                    </wps:spPr>
                    <wps:txbx>
                      <w:txbxContent>
                        <w:p w14:paraId="43AA54A4" w14:textId="77777777" w:rsidR="00067167" w:rsidRPr="007F2BC4" w:rsidRDefault="00067167" w:rsidP="00067167">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4E63BB38" id="_x0000_t202" coordsize="21600,21600" o:spt="202" path="m,l,21600r21600,l21600,xe">
              <v:stroke joinstyle="miter"/>
              <v:path gradientshapeok="t" o:connecttype="rect"/>
            </v:shapetype>
            <v:shape id="Textové pole 2" o:spid="_x0000_s1026" type="#_x0000_t202" style="position:absolute;left:0;text-align:left;margin-left:273.4pt;margin-top:.8pt;width:185.95pt;height:5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" stroked="f">
              <v:textbox style="mso-fit-shape-to-text:t">
                <w:txbxContent>
                  <w:p w14:paraId="43AA54A4" w14:textId="77777777" w:rsidR="00067167" w:rsidRPr="007F2BC4" w:rsidRDefault="00067167" w:rsidP="00067167">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v:textbox>
            </v:shape>
          </w:pict>
        </mc:Fallback>
      </mc:AlternateContent>
    </w:r>
    <w:r w:rsidRPr="000B3C18">
      <w:rPr>
        <w:rFonts w:ascii="Arial" w:hAnsi="Arial" w:cs="Arial"/>
        <w:noProof/>
        <w:color w:val="2658A5"/>
        <w:sz w:val="18"/>
        <w:szCs w:val="18"/>
        <w:lang w:eastAsia="cs-CZ"/>
      </w:rPr>
      <mc:AlternateContent>
        <mc:Choice Requires="wps">
          <w:drawing>
            <wp:anchor distT="0" distB="0" distL="114300" distR="114300" simplePos="0" relativeHeight="251660288" behindDoc="1" locked="0" layoutInCell="1" allowOverlap="1" wp14:anchorId="4E6452D4" wp14:editId="79CA6841">
              <wp:simplePos x="0" y="0"/>
              <wp:positionH relativeFrom="column">
                <wp:posOffset>-109220</wp:posOffset>
              </wp:positionH>
              <wp:positionV relativeFrom="paragraph">
                <wp:posOffset>7620</wp:posOffset>
              </wp:positionV>
              <wp:extent cx="2085975" cy="1404620"/>
              <wp:effectExtent l="0" t="0" r="9525" b="9525"/>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404620"/>
                      </a:xfrm>
                      <a:prstGeom prst="rect">
                        <a:avLst/>
                      </a:prstGeom>
                      <a:solidFill>
                        <a:srgbClr val="FFFFFF"/>
                      </a:solidFill>
                      <a:ln w="9525">
                        <a:noFill/>
                        <a:miter lim="800000"/>
                        <a:headEnd/>
                        <a:tailEnd/>
                      </a:ln>
                    </wps:spPr>
                    <wps:txbx>
                      <w:txbxContent>
                        <w:p w14:paraId="787DFE90" w14:textId="77777777" w:rsidR="00067167" w:rsidRPr="00DC6D14" w:rsidRDefault="00067167" w:rsidP="00067167">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4E6452D4" id="_x0000_s1027" type="#_x0000_t202" style="position:absolute;left:0;text-align:left;margin-left:-8.6pt;margin-top:.6pt;width:164.25pt;height:1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" stroked="f">
              <v:textbox style="mso-fit-shape-to-text:t">
                <w:txbxContent>
                  <w:p w14:paraId="787DFE90" w14:textId="77777777" w:rsidR="00067167" w:rsidRPr="00DC6D14" w:rsidRDefault="00067167" w:rsidP="00067167">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v:textbox>
            </v:shape>
          </w:pict>
        </mc:Fallback>
      </mc:AlternateContent>
    </w:r>
  </w:p>
  <w:p w14:paraId="17BFFF7A" w14:textId="772EB9B9" w:rsidR="00067167" w:rsidRPr="00067167" w:rsidRDefault="00067167" w:rsidP="00067167">
    <w:pPr>
      <w:pStyle w:val="Zpat"/>
      <w:tabs>
        <w:tab w:val="clear" w:pos="4536"/>
        <w:tab w:val="clear" w:pos="9072"/>
        <w:tab w:val="left" w:pos="8280"/>
      </w:tabs>
      <w:rPr>
        <w:rFonts w:ascii="Arial" w:hAnsi="Arial" w:cs="Arial"/>
        <w:sz w:val="20"/>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0DD0B" w14:textId="77777777" w:rsidR="007D10CD" w:rsidRDefault="007D10CD" w:rsidP="00807D68">
      <w:pPr>
        <w:spacing w:after="0" w:line="240" w:lineRule="auto"/>
      </w:pPr>
      <w:r>
        <w:separator/>
      </w:r>
    </w:p>
  </w:footnote>
  <w:footnote w:type="continuationSeparator" w:id="0">
    <w:p w14:paraId="03554917" w14:textId="77777777" w:rsidR="007D10CD" w:rsidRDefault="007D10CD" w:rsidP="00807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F505" w14:textId="77777777" w:rsidR="00807D68" w:rsidRDefault="00807D68">
    <w:pPr>
      <w:pStyle w:val="Zhlav"/>
    </w:pPr>
  </w:p>
  <w:p w14:paraId="03206D20" w14:textId="77777777" w:rsidR="00807D68" w:rsidRDefault="00807D6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2B3"/>
    <w:multiLevelType w:val="hybridMultilevel"/>
    <w:tmpl w:val="BE36BA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535DF6"/>
    <w:multiLevelType w:val="hybridMultilevel"/>
    <w:tmpl w:val="FA3A3312"/>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1001307A"/>
    <w:multiLevelType w:val="hybridMultilevel"/>
    <w:tmpl w:val="9B38559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FB158A"/>
    <w:multiLevelType w:val="hybridMultilevel"/>
    <w:tmpl w:val="E362D29E"/>
    <w:lvl w:ilvl="0" w:tplc="90184EF8">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4" w15:restartNumberingAfterBreak="0">
    <w:nsid w:val="1CD43469"/>
    <w:multiLevelType w:val="hybridMultilevel"/>
    <w:tmpl w:val="79FE67E8"/>
    <w:lvl w:ilvl="0" w:tplc="CA5831CA">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8771E44"/>
    <w:multiLevelType w:val="hybridMultilevel"/>
    <w:tmpl w:val="86C49B60"/>
    <w:lvl w:ilvl="0" w:tplc="352E771C">
      <w:start w:val="1"/>
      <w:numFmt w:val="lowerLetter"/>
      <w:lvlText w:val="%1)"/>
      <w:lvlJc w:val="left"/>
      <w:pPr>
        <w:ind w:left="345" w:hanging="360"/>
      </w:pPr>
      <w:rPr>
        <w:rFonts w:ascii="Arial" w:eastAsiaTheme="minorHAnsi" w:hAnsi="Arial" w:cs="Arial"/>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6" w15:restartNumberingAfterBreak="0">
    <w:nsid w:val="2988097F"/>
    <w:multiLevelType w:val="hybridMultilevel"/>
    <w:tmpl w:val="DF9AB0D8"/>
    <w:lvl w:ilvl="0" w:tplc="066234B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7" w15:restartNumberingAfterBreak="0">
    <w:nsid w:val="3F5A1D76"/>
    <w:multiLevelType w:val="hybridMultilevel"/>
    <w:tmpl w:val="9BCA0DBC"/>
    <w:lvl w:ilvl="0" w:tplc="66261D70">
      <w:start w:val="1"/>
      <w:numFmt w:val="bullet"/>
      <w:lvlText w:val="-"/>
      <w:lvlJc w:val="left"/>
      <w:pPr>
        <w:ind w:left="345" w:hanging="360"/>
      </w:pPr>
      <w:rPr>
        <w:rFonts w:ascii="Arial" w:eastAsiaTheme="minorHAnsi" w:hAnsi="Arial" w:cs="Arial" w:hint="default"/>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8" w15:restartNumberingAfterBreak="0">
    <w:nsid w:val="405F45BF"/>
    <w:multiLevelType w:val="hybridMultilevel"/>
    <w:tmpl w:val="55A0423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6882194"/>
    <w:multiLevelType w:val="hybridMultilevel"/>
    <w:tmpl w:val="09B49B16"/>
    <w:lvl w:ilvl="0" w:tplc="3F30627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10" w15:restartNumberingAfterBreak="0">
    <w:nsid w:val="58E46094"/>
    <w:multiLevelType w:val="hybridMultilevel"/>
    <w:tmpl w:val="0666F1F8"/>
    <w:lvl w:ilvl="0" w:tplc="04050001">
      <w:start w:val="1"/>
      <w:numFmt w:val="bullet"/>
      <w:lvlText w:val=""/>
      <w:lvlJc w:val="left"/>
      <w:pPr>
        <w:ind w:left="721" w:hanging="360"/>
      </w:pPr>
      <w:rPr>
        <w:rFonts w:ascii="Symbol" w:hAnsi="Symbol" w:hint="default"/>
      </w:rPr>
    </w:lvl>
    <w:lvl w:ilvl="1" w:tplc="04050003">
      <w:start w:val="1"/>
      <w:numFmt w:val="bullet"/>
      <w:lvlText w:val="o"/>
      <w:lvlJc w:val="left"/>
      <w:pPr>
        <w:ind w:left="1441" w:hanging="360"/>
      </w:pPr>
      <w:rPr>
        <w:rFonts w:ascii="Courier New" w:hAnsi="Courier New" w:cs="Courier New" w:hint="default"/>
      </w:rPr>
    </w:lvl>
    <w:lvl w:ilvl="2" w:tplc="04050005">
      <w:start w:val="1"/>
      <w:numFmt w:val="bullet"/>
      <w:lvlText w:val=""/>
      <w:lvlJc w:val="left"/>
      <w:pPr>
        <w:ind w:left="2161" w:hanging="360"/>
      </w:pPr>
      <w:rPr>
        <w:rFonts w:ascii="Wingdings" w:hAnsi="Wingdings" w:hint="default"/>
      </w:rPr>
    </w:lvl>
    <w:lvl w:ilvl="3" w:tplc="04050001">
      <w:start w:val="1"/>
      <w:numFmt w:val="bullet"/>
      <w:lvlText w:val=""/>
      <w:lvlJc w:val="left"/>
      <w:pPr>
        <w:ind w:left="2881" w:hanging="360"/>
      </w:pPr>
      <w:rPr>
        <w:rFonts w:ascii="Symbol" w:hAnsi="Symbol" w:hint="default"/>
      </w:rPr>
    </w:lvl>
    <w:lvl w:ilvl="4" w:tplc="04050003">
      <w:start w:val="1"/>
      <w:numFmt w:val="bullet"/>
      <w:lvlText w:val="o"/>
      <w:lvlJc w:val="left"/>
      <w:pPr>
        <w:ind w:left="3601" w:hanging="360"/>
      </w:pPr>
      <w:rPr>
        <w:rFonts w:ascii="Courier New" w:hAnsi="Courier New" w:cs="Courier New" w:hint="default"/>
      </w:rPr>
    </w:lvl>
    <w:lvl w:ilvl="5" w:tplc="04050005">
      <w:start w:val="1"/>
      <w:numFmt w:val="bullet"/>
      <w:lvlText w:val=""/>
      <w:lvlJc w:val="left"/>
      <w:pPr>
        <w:ind w:left="4321" w:hanging="360"/>
      </w:pPr>
      <w:rPr>
        <w:rFonts w:ascii="Wingdings" w:hAnsi="Wingdings" w:hint="default"/>
      </w:rPr>
    </w:lvl>
    <w:lvl w:ilvl="6" w:tplc="04050001">
      <w:start w:val="1"/>
      <w:numFmt w:val="bullet"/>
      <w:lvlText w:val=""/>
      <w:lvlJc w:val="left"/>
      <w:pPr>
        <w:ind w:left="5041" w:hanging="360"/>
      </w:pPr>
      <w:rPr>
        <w:rFonts w:ascii="Symbol" w:hAnsi="Symbol" w:hint="default"/>
      </w:rPr>
    </w:lvl>
    <w:lvl w:ilvl="7" w:tplc="04050003">
      <w:start w:val="1"/>
      <w:numFmt w:val="bullet"/>
      <w:lvlText w:val="o"/>
      <w:lvlJc w:val="left"/>
      <w:pPr>
        <w:ind w:left="5761" w:hanging="360"/>
      </w:pPr>
      <w:rPr>
        <w:rFonts w:ascii="Courier New" w:hAnsi="Courier New" w:cs="Courier New" w:hint="default"/>
      </w:rPr>
    </w:lvl>
    <w:lvl w:ilvl="8" w:tplc="04050005">
      <w:start w:val="1"/>
      <w:numFmt w:val="bullet"/>
      <w:lvlText w:val=""/>
      <w:lvlJc w:val="left"/>
      <w:pPr>
        <w:ind w:left="6481" w:hanging="360"/>
      </w:pPr>
      <w:rPr>
        <w:rFonts w:ascii="Wingdings" w:hAnsi="Wingdings" w:hint="default"/>
      </w:rPr>
    </w:lvl>
  </w:abstractNum>
  <w:abstractNum w:abstractNumId="11" w15:restartNumberingAfterBreak="0">
    <w:nsid w:val="69BC2EA4"/>
    <w:multiLevelType w:val="hybridMultilevel"/>
    <w:tmpl w:val="1D1C33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6A004778"/>
    <w:multiLevelType w:val="hybridMultilevel"/>
    <w:tmpl w:val="F41A511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15:restartNumberingAfterBreak="0">
    <w:nsid w:val="6A395D18"/>
    <w:multiLevelType w:val="hybridMultilevel"/>
    <w:tmpl w:val="C9160142"/>
    <w:lvl w:ilvl="0" w:tplc="90F21DCE">
      <w:start w:val="1"/>
      <w:numFmt w:val="lowerLetter"/>
      <w:lvlText w:val="%1)"/>
      <w:lvlJc w:val="left"/>
      <w:pPr>
        <w:ind w:left="705" w:hanging="360"/>
      </w:pPr>
      <w:rPr>
        <w:rFonts w:hint="default"/>
      </w:rPr>
    </w:lvl>
    <w:lvl w:ilvl="1" w:tplc="04050019" w:tentative="1">
      <w:start w:val="1"/>
      <w:numFmt w:val="lowerLetter"/>
      <w:lvlText w:val="%2."/>
      <w:lvlJc w:val="left"/>
      <w:pPr>
        <w:ind w:left="1425" w:hanging="360"/>
      </w:pPr>
    </w:lvl>
    <w:lvl w:ilvl="2" w:tplc="0405001B" w:tentative="1">
      <w:start w:val="1"/>
      <w:numFmt w:val="lowerRoman"/>
      <w:lvlText w:val="%3."/>
      <w:lvlJc w:val="right"/>
      <w:pPr>
        <w:ind w:left="2145" w:hanging="180"/>
      </w:pPr>
    </w:lvl>
    <w:lvl w:ilvl="3" w:tplc="0405000F" w:tentative="1">
      <w:start w:val="1"/>
      <w:numFmt w:val="decimal"/>
      <w:lvlText w:val="%4."/>
      <w:lvlJc w:val="left"/>
      <w:pPr>
        <w:ind w:left="2865" w:hanging="360"/>
      </w:pPr>
    </w:lvl>
    <w:lvl w:ilvl="4" w:tplc="04050019" w:tentative="1">
      <w:start w:val="1"/>
      <w:numFmt w:val="lowerLetter"/>
      <w:lvlText w:val="%5."/>
      <w:lvlJc w:val="left"/>
      <w:pPr>
        <w:ind w:left="3585" w:hanging="360"/>
      </w:pPr>
    </w:lvl>
    <w:lvl w:ilvl="5" w:tplc="0405001B" w:tentative="1">
      <w:start w:val="1"/>
      <w:numFmt w:val="lowerRoman"/>
      <w:lvlText w:val="%6."/>
      <w:lvlJc w:val="right"/>
      <w:pPr>
        <w:ind w:left="4305" w:hanging="180"/>
      </w:pPr>
    </w:lvl>
    <w:lvl w:ilvl="6" w:tplc="0405000F" w:tentative="1">
      <w:start w:val="1"/>
      <w:numFmt w:val="decimal"/>
      <w:lvlText w:val="%7."/>
      <w:lvlJc w:val="left"/>
      <w:pPr>
        <w:ind w:left="5025" w:hanging="360"/>
      </w:pPr>
    </w:lvl>
    <w:lvl w:ilvl="7" w:tplc="04050019" w:tentative="1">
      <w:start w:val="1"/>
      <w:numFmt w:val="lowerLetter"/>
      <w:lvlText w:val="%8."/>
      <w:lvlJc w:val="left"/>
      <w:pPr>
        <w:ind w:left="5745" w:hanging="360"/>
      </w:pPr>
    </w:lvl>
    <w:lvl w:ilvl="8" w:tplc="0405001B" w:tentative="1">
      <w:start w:val="1"/>
      <w:numFmt w:val="lowerRoman"/>
      <w:lvlText w:val="%9."/>
      <w:lvlJc w:val="right"/>
      <w:pPr>
        <w:ind w:left="6465" w:hanging="180"/>
      </w:pPr>
    </w:lvl>
  </w:abstractNum>
  <w:abstractNum w:abstractNumId="14" w15:restartNumberingAfterBreak="0">
    <w:nsid w:val="6EE815A3"/>
    <w:multiLevelType w:val="hybridMultilevel"/>
    <w:tmpl w:val="F81CF32C"/>
    <w:lvl w:ilvl="0" w:tplc="65A26D1A">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7B082DB2"/>
    <w:multiLevelType w:val="hybridMultilevel"/>
    <w:tmpl w:val="2F588F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73610591">
    <w:abstractNumId w:val="1"/>
  </w:num>
  <w:num w:numId="2" w16cid:durableId="109474410">
    <w:abstractNumId w:val="11"/>
  </w:num>
  <w:num w:numId="3" w16cid:durableId="1971352549">
    <w:abstractNumId w:val="5"/>
  </w:num>
  <w:num w:numId="4" w16cid:durableId="622613660">
    <w:abstractNumId w:val="13"/>
  </w:num>
  <w:num w:numId="5" w16cid:durableId="747649548">
    <w:abstractNumId w:val="14"/>
  </w:num>
  <w:num w:numId="6" w16cid:durableId="1397120529">
    <w:abstractNumId w:val="7"/>
  </w:num>
  <w:num w:numId="7" w16cid:durableId="1891723626">
    <w:abstractNumId w:val="6"/>
  </w:num>
  <w:num w:numId="8" w16cid:durableId="1454447916">
    <w:abstractNumId w:val="3"/>
  </w:num>
  <w:num w:numId="9" w16cid:durableId="1014383800">
    <w:abstractNumId w:val="9"/>
  </w:num>
  <w:num w:numId="10" w16cid:durableId="1795249585">
    <w:abstractNumId w:val="4"/>
  </w:num>
  <w:num w:numId="11" w16cid:durableId="1618095657">
    <w:abstractNumId w:val="10"/>
  </w:num>
  <w:num w:numId="12" w16cid:durableId="1492140138">
    <w:abstractNumId w:val="12"/>
  </w:num>
  <w:num w:numId="13" w16cid:durableId="1999455266">
    <w:abstractNumId w:val="15"/>
  </w:num>
  <w:num w:numId="14" w16cid:durableId="811602875">
    <w:abstractNumId w:val="8"/>
  </w:num>
  <w:num w:numId="15" w16cid:durableId="488063343">
    <w:abstractNumId w:val="2"/>
  </w:num>
  <w:num w:numId="16" w16cid:durableId="1942760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0CF"/>
    <w:rsid w:val="00007B29"/>
    <w:rsid w:val="00014E7A"/>
    <w:rsid w:val="0003087B"/>
    <w:rsid w:val="00043313"/>
    <w:rsid w:val="000468C8"/>
    <w:rsid w:val="00050C79"/>
    <w:rsid w:val="00056E6A"/>
    <w:rsid w:val="0006119A"/>
    <w:rsid w:val="0006590C"/>
    <w:rsid w:val="00067167"/>
    <w:rsid w:val="000741E3"/>
    <w:rsid w:val="00081A91"/>
    <w:rsid w:val="00094323"/>
    <w:rsid w:val="000A4456"/>
    <w:rsid w:val="000B3C18"/>
    <w:rsid w:val="000B3ECB"/>
    <w:rsid w:val="000E2C64"/>
    <w:rsid w:val="000F3870"/>
    <w:rsid w:val="0010721B"/>
    <w:rsid w:val="00113F39"/>
    <w:rsid w:val="00117523"/>
    <w:rsid w:val="00117F77"/>
    <w:rsid w:val="00125EEF"/>
    <w:rsid w:val="00136DF6"/>
    <w:rsid w:val="00142850"/>
    <w:rsid w:val="00143E7B"/>
    <w:rsid w:val="001472E1"/>
    <w:rsid w:val="00147B7E"/>
    <w:rsid w:val="00152827"/>
    <w:rsid w:val="0015513D"/>
    <w:rsid w:val="00167F18"/>
    <w:rsid w:val="00170343"/>
    <w:rsid w:val="00191769"/>
    <w:rsid w:val="00192BDE"/>
    <w:rsid w:val="001A269C"/>
    <w:rsid w:val="001B7F29"/>
    <w:rsid w:val="001C38DE"/>
    <w:rsid w:val="001C50AC"/>
    <w:rsid w:val="001D0E07"/>
    <w:rsid w:val="001D158E"/>
    <w:rsid w:val="001D5235"/>
    <w:rsid w:val="001E3FE0"/>
    <w:rsid w:val="001F7CD3"/>
    <w:rsid w:val="002012CC"/>
    <w:rsid w:val="00225F02"/>
    <w:rsid w:val="00225F5E"/>
    <w:rsid w:val="0023444C"/>
    <w:rsid w:val="002543DF"/>
    <w:rsid w:val="002726E7"/>
    <w:rsid w:val="0029133E"/>
    <w:rsid w:val="002B4EBB"/>
    <w:rsid w:val="002B7C92"/>
    <w:rsid w:val="002C050A"/>
    <w:rsid w:val="002C2749"/>
    <w:rsid w:val="002D4B6F"/>
    <w:rsid w:val="002D63D5"/>
    <w:rsid w:val="002E16BD"/>
    <w:rsid w:val="00304730"/>
    <w:rsid w:val="00306095"/>
    <w:rsid w:val="003125AD"/>
    <w:rsid w:val="00340D35"/>
    <w:rsid w:val="00350179"/>
    <w:rsid w:val="00361995"/>
    <w:rsid w:val="00363379"/>
    <w:rsid w:val="0037728A"/>
    <w:rsid w:val="003838E2"/>
    <w:rsid w:val="003A2DD5"/>
    <w:rsid w:val="003C08FD"/>
    <w:rsid w:val="003C0F47"/>
    <w:rsid w:val="003E3B85"/>
    <w:rsid w:val="003F2528"/>
    <w:rsid w:val="003F684A"/>
    <w:rsid w:val="004127B4"/>
    <w:rsid w:val="004305B0"/>
    <w:rsid w:val="00432A70"/>
    <w:rsid w:val="0043419B"/>
    <w:rsid w:val="0046373B"/>
    <w:rsid w:val="00483135"/>
    <w:rsid w:val="0049003C"/>
    <w:rsid w:val="004929C0"/>
    <w:rsid w:val="00493D8C"/>
    <w:rsid w:val="00494ACB"/>
    <w:rsid w:val="0049637D"/>
    <w:rsid w:val="004A3BA0"/>
    <w:rsid w:val="004B2A9E"/>
    <w:rsid w:val="004B40DA"/>
    <w:rsid w:val="004C2967"/>
    <w:rsid w:val="004E3C68"/>
    <w:rsid w:val="004F28F0"/>
    <w:rsid w:val="004F3AA9"/>
    <w:rsid w:val="00513D20"/>
    <w:rsid w:val="00523D15"/>
    <w:rsid w:val="00526090"/>
    <w:rsid w:val="005545CE"/>
    <w:rsid w:val="00562104"/>
    <w:rsid w:val="005702A5"/>
    <w:rsid w:val="00572CFD"/>
    <w:rsid w:val="00574953"/>
    <w:rsid w:val="00577B57"/>
    <w:rsid w:val="005837B9"/>
    <w:rsid w:val="005923C5"/>
    <w:rsid w:val="00592C1D"/>
    <w:rsid w:val="005941FC"/>
    <w:rsid w:val="005A0FA4"/>
    <w:rsid w:val="005A3A49"/>
    <w:rsid w:val="005B2A55"/>
    <w:rsid w:val="005C408A"/>
    <w:rsid w:val="005C435F"/>
    <w:rsid w:val="005D105B"/>
    <w:rsid w:val="005E11F3"/>
    <w:rsid w:val="005E3D23"/>
    <w:rsid w:val="005F776A"/>
    <w:rsid w:val="005F7F53"/>
    <w:rsid w:val="0060731F"/>
    <w:rsid w:val="006076AA"/>
    <w:rsid w:val="0061127C"/>
    <w:rsid w:val="006164AA"/>
    <w:rsid w:val="00623343"/>
    <w:rsid w:val="00624202"/>
    <w:rsid w:val="00636882"/>
    <w:rsid w:val="00647121"/>
    <w:rsid w:val="00653A86"/>
    <w:rsid w:val="00655019"/>
    <w:rsid w:val="00656822"/>
    <w:rsid w:val="00663C7B"/>
    <w:rsid w:val="00681DA5"/>
    <w:rsid w:val="0068461A"/>
    <w:rsid w:val="006A58A4"/>
    <w:rsid w:val="006A6A0B"/>
    <w:rsid w:val="006B142F"/>
    <w:rsid w:val="006B681B"/>
    <w:rsid w:val="006D428D"/>
    <w:rsid w:val="006E3BFD"/>
    <w:rsid w:val="006F6413"/>
    <w:rsid w:val="0070124B"/>
    <w:rsid w:val="0073117A"/>
    <w:rsid w:val="00735C36"/>
    <w:rsid w:val="00741B6D"/>
    <w:rsid w:val="00743BE5"/>
    <w:rsid w:val="00751910"/>
    <w:rsid w:val="00752488"/>
    <w:rsid w:val="00771930"/>
    <w:rsid w:val="007A03B2"/>
    <w:rsid w:val="007A637E"/>
    <w:rsid w:val="007C3195"/>
    <w:rsid w:val="007C40CF"/>
    <w:rsid w:val="007D10CD"/>
    <w:rsid w:val="007D5612"/>
    <w:rsid w:val="007D608A"/>
    <w:rsid w:val="007D63A4"/>
    <w:rsid w:val="007E237F"/>
    <w:rsid w:val="007E3B4D"/>
    <w:rsid w:val="008078D2"/>
    <w:rsid w:val="00807D68"/>
    <w:rsid w:val="008167DB"/>
    <w:rsid w:val="00826207"/>
    <w:rsid w:val="008352E1"/>
    <w:rsid w:val="00850849"/>
    <w:rsid w:val="008570EA"/>
    <w:rsid w:val="00861436"/>
    <w:rsid w:val="00861652"/>
    <w:rsid w:val="008632A4"/>
    <w:rsid w:val="00881CBD"/>
    <w:rsid w:val="00885497"/>
    <w:rsid w:val="00890135"/>
    <w:rsid w:val="0089254F"/>
    <w:rsid w:val="008A552B"/>
    <w:rsid w:val="008B064A"/>
    <w:rsid w:val="008B2F2D"/>
    <w:rsid w:val="008B5F90"/>
    <w:rsid w:val="008C191C"/>
    <w:rsid w:val="008D17E3"/>
    <w:rsid w:val="008E23AA"/>
    <w:rsid w:val="008F22C0"/>
    <w:rsid w:val="0090767D"/>
    <w:rsid w:val="00916BBC"/>
    <w:rsid w:val="00917CF5"/>
    <w:rsid w:val="0092339C"/>
    <w:rsid w:val="009234AB"/>
    <w:rsid w:val="009266E9"/>
    <w:rsid w:val="00952C24"/>
    <w:rsid w:val="00955DA0"/>
    <w:rsid w:val="00970F06"/>
    <w:rsid w:val="00971704"/>
    <w:rsid w:val="00972523"/>
    <w:rsid w:val="00980108"/>
    <w:rsid w:val="00991369"/>
    <w:rsid w:val="009A26B8"/>
    <w:rsid w:val="009C191D"/>
    <w:rsid w:val="009C2435"/>
    <w:rsid w:val="009C3CC3"/>
    <w:rsid w:val="009D6FE5"/>
    <w:rsid w:val="009E32D6"/>
    <w:rsid w:val="009E5FEF"/>
    <w:rsid w:val="009F2D9C"/>
    <w:rsid w:val="00A04DA8"/>
    <w:rsid w:val="00A161BD"/>
    <w:rsid w:val="00A23941"/>
    <w:rsid w:val="00A41087"/>
    <w:rsid w:val="00A57348"/>
    <w:rsid w:val="00A57931"/>
    <w:rsid w:val="00A66848"/>
    <w:rsid w:val="00A71A67"/>
    <w:rsid w:val="00A7251A"/>
    <w:rsid w:val="00A81783"/>
    <w:rsid w:val="00A95A44"/>
    <w:rsid w:val="00AB13BE"/>
    <w:rsid w:val="00AC261B"/>
    <w:rsid w:val="00AD2EE9"/>
    <w:rsid w:val="00AE2407"/>
    <w:rsid w:val="00AF49E0"/>
    <w:rsid w:val="00AF5758"/>
    <w:rsid w:val="00B14440"/>
    <w:rsid w:val="00B205BA"/>
    <w:rsid w:val="00B20F24"/>
    <w:rsid w:val="00B2146B"/>
    <w:rsid w:val="00B40171"/>
    <w:rsid w:val="00B44F4B"/>
    <w:rsid w:val="00B548D7"/>
    <w:rsid w:val="00B91A7F"/>
    <w:rsid w:val="00B97A9C"/>
    <w:rsid w:val="00BA59A9"/>
    <w:rsid w:val="00BD02A1"/>
    <w:rsid w:val="00BD76E2"/>
    <w:rsid w:val="00BE02CF"/>
    <w:rsid w:val="00BE29F2"/>
    <w:rsid w:val="00BF5CA1"/>
    <w:rsid w:val="00C00873"/>
    <w:rsid w:val="00C241B4"/>
    <w:rsid w:val="00C41758"/>
    <w:rsid w:val="00C43D14"/>
    <w:rsid w:val="00C44FA7"/>
    <w:rsid w:val="00C4704F"/>
    <w:rsid w:val="00C64499"/>
    <w:rsid w:val="00C85543"/>
    <w:rsid w:val="00C90547"/>
    <w:rsid w:val="00C92309"/>
    <w:rsid w:val="00C937E8"/>
    <w:rsid w:val="00C97D46"/>
    <w:rsid w:val="00CC3F89"/>
    <w:rsid w:val="00CC4227"/>
    <w:rsid w:val="00CD11D7"/>
    <w:rsid w:val="00CE1F6D"/>
    <w:rsid w:val="00CE40CA"/>
    <w:rsid w:val="00CF53D9"/>
    <w:rsid w:val="00CF6F01"/>
    <w:rsid w:val="00D00046"/>
    <w:rsid w:val="00D02DA7"/>
    <w:rsid w:val="00D0539F"/>
    <w:rsid w:val="00D100A7"/>
    <w:rsid w:val="00D2107A"/>
    <w:rsid w:val="00D230ED"/>
    <w:rsid w:val="00D2539D"/>
    <w:rsid w:val="00D316B5"/>
    <w:rsid w:val="00D329DD"/>
    <w:rsid w:val="00D33380"/>
    <w:rsid w:val="00D520E5"/>
    <w:rsid w:val="00D66CD2"/>
    <w:rsid w:val="00D76067"/>
    <w:rsid w:val="00D763A0"/>
    <w:rsid w:val="00D82F55"/>
    <w:rsid w:val="00D8316C"/>
    <w:rsid w:val="00D83F59"/>
    <w:rsid w:val="00D86061"/>
    <w:rsid w:val="00D866C7"/>
    <w:rsid w:val="00D966A5"/>
    <w:rsid w:val="00DA4366"/>
    <w:rsid w:val="00DA530B"/>
    <w:rsid w:val="00DB12CA"/>
    <w:rsid w:val="00DB1A08"/>
    <w:rsid w:val="00DC5B7E"/>
    <w:rsid w:val="00DC7559"/>
    <w:rsid w:val="00DD4A64"/>
    <w:rsid w:val="00DF764D"/>
    <w:rsid w:val="00E01D17"/>
    <w:rsid w:val="00E17BF0"/>
    <w:rsid w:val="00E27FB5"/>
    <w:rsid w:val="00E5368A"/>
    <w:rsid w:val="00E53779"/>
    <w:rsid w:val="00E561BC"/>
    <w:rsid w:val="00E67109"/>
    <w:rsid w:val="00E841BB"/>
    <w:rsid w:val="00E90D9C"/>
    <w:rsid w:val="00EA1D75"/>
    <w:rsid w:val="00EA39B4"/>
    <w:rsid w:val="00EA4FBF"/>
    <w:rsid w:val="00EB43D0"/>
    <w:rsid w:val="00ED4CDF"/>
    <w:rsid w:val="00EE0FF3"/>
    <w:rsid w:val="00EF1393"/>
    <w:rsid w:val="00EF2648"/>
    <w:rsid w:val="00EF3E1F"/>
    <w:rsid w:val="00F168AF"/>
    <w:rsid w:val="00F1783B"/>
    <w:rsid w:val="00F260A8"/>
    <w:rsid w:val="00F27246"/>
    <w:rsid w:val="00F30FBE"/>
    <w:rsid w:val="00F32A6A"/>
    <w:rsid w:val="00F34A6A"/>
    <w:rsid w:val="00F4039A"/>
    <w:rsid w:val="00F4644A"/>
    <w:rsid w:val="00F53C17"/>
    <w:rsid w:val="00F55D33"/>
    <w:rsid w:val="00F70689"/>
    <w:rsid w:val="00F70880"/>
    <w:rsid w:val="00F84AB7"/>
    <w:rsid w:val="00F857BA"/>
    <w:rsid w:val="00FA1B43"/>
    <w:rsid w:val="00FB39B8"/>
    <w:rsid w:val="00FD086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B64AC"/>
  <w15:chartTrackingRefBased/>
  <w15:docId w15:val="{A6B7E4F7-B832-45EB-B1F5-D1FAA85C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07D6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07D68"/>
  </w:style>
  <w:style w:type="paragraph" w:styleId="Zpat">
    <w:name w:val="footer"/>
    <w:basedOn w:val="Normln"/>
    <w:link w:val="ZpatChar"/>
    <w:uiPriority w:val="99"/>
    <w:unhideWhenUsed/>
    <w:rsid w:val="00807D68"/>
    <w:pPr>
      <w:tabs>
        <w:tab w:val="center" w:pos="4536"/>
        <w:tab w:val="right" w:pos="9072"/>
      </w:tabs>
      <w:spacing w:after="0" w:line="240" w:lineRule="auto"/>
    </w:pPr>
  </w:style>
  <w:style w:type="character" w:customStyle="1" w:styleId="ZpatChar">
    <w:name w:val="Zápatí Char"/>
    <w:basedOn w:val="Standardnpsmoodstavce"/>
    <w:link w:val="Zpat"/>
    <w:uiPriority w:val="99"/>
    <w:rsid w:val="00807D68"/>
  </w:style>
  <w:style w:type="table" w:styleId="Mkatabulky">
    <w:name w:val="Table Grid"/>
    <w:basedOn w:val="Normlntabulka"/>
    <w:uiPriority w:val="39"/>
    <w:rsid w:val="00B44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C1D"/>
    <w:pPr>
      <w:autoSpaceDE w:val="0"/>
      <w:autoSpaceDN w:val="0"/>
      <w:adjustRightInd w:val="0"/>
      <w:spacing w:after="0" w:line="240" w:lineRule="auto"/>
    </w:pPr>
    <w:rPr>
      <w:rFonts w:ascii="Arial" w:eastAsia="Calibri" w:hAnsi="Arial" w:cs="Arial"/>
      <w:color w:val="000000"/>
      <w:sz w:val="24"/>
      <w:szCs w:val="24"/>
    </w:rPr>
  </w:style>
  <w:style w:type="paragraph" w:styleId="Odstavecseseznamem">
    <w:name w:val="List Paragraph"/>
    <w:basedOn w:val="Normln"/>
    <w:uiPriority w:val="34"/>
    <w:qFormat/>
    <w:rsid w:val="00F53C17"/>
    <w:pPr>
      <w:spacing w:after="200" w:line="276" w:lineRule="auto"/>
      <w:ind w:left="720"/>
      <w:contextualSpacing/>
    </w:pPr>
    <w:rPr>
      <w:rFonts w:ascii="Calibri" w:eastAsia="Calibri" w:hAnsi="Calibri" w:cs="Times New Roman"/>
    </w:rPr>
  </w:style>
  <w:style w:type="paragraph" w:styleId="Bezmezer">
    <w:name w:val="No Spacing"/>
    <w:link w:val="BezmezerChar"/>
    <w:uiPriority w:val="1"/>
    <w:qFormat/>
    <w:rsid w:val="006D428D"/>
    <w:pPr>
      <w:spacing w:after="0" w:line="240" w:lineRule="auto"/>
    </w:pPr>
    <w:rPr>
      <w:rFonts w:ascii="Times New Roman" w:eastAsia="Times New Roman" w:hAnsi="Times New Roman" w:cs="Times New Roman"/>
      <w:sz w:val="24"/>
      <w:szCs w:val="24"/>
      <w:lang w:eastAsia="cs-CZ"/>
    </w:rPr>
  </w:style>
  <w:style w:type="character" w:customStyle="1" w:styleId="BezmezerChar">
    <w:name w:val="Bez mezer Char"/>
    <w:link w:val="Bezmezer"/>
    <w:uiPriority w:val="1"/>
    <w:locked/>
    <w:rsid w:val="006D428D"/>
    <w:rPr>
      <w:rFonts w:ascii="Times New Roman" w:eastAsia="Times New Roman" w:hAnsi="Times New Roman" w:cs="Times New Roman"/>
      <w:sz w:val="24"/>
      <w:szCs w:val="24"/>
      <w:lang w:eastAsia="cs-CZ"/>
    </w:rPr>
  </w:style>
  <w:style w:type="paragraph" w:styleId="Revize">
    <w:name w:val="Revision"/>
    <w:hidden/>
    <w:uiPriority w:val="99"/>
    <w:semiHidden/>
    <w:rsid w:val="00574953"/>
    <w:pPr>
      <w:spacing w:after="0" w:line="240" w:lineRule="auto"/>
    </w:pPr>
  </w:style>
  <w:style w:type="character" w:styleId="Odkaznakoment">
    <w:name w:val="annotation reference"/>
    <w:basedOn w:val="Standardnpsmoodstavce"/>
    <w:uiPriority w:val="99"/>
    <w:semiHidden/>
    <w:unhideWhenUsed/>
    <w:rsid w:val="008C191C"/>
    <w:rPr>
      <w:sz w:val="16"/>
      <w:szCs w:val="16"/>
    </w:rPr>
  </w:style>
  <w:style w:type="paragraph" w:styleId="Textkomente">
    <w:name w:val="annotation text"/>
    <w:basedOn w:val="Normln"/>
    <w:link w:val="TextkomenteChar"/>
    <w:uiPriority w:val="99"/>
    <w:unhideWhenUsed/>
    <w:rsid w:val="008C191C"/>
    <w:pPr>
      <w:spacing w:line="240" w:lineRule="auto"/>
    </w:pPr>
    <w:rPr>
      <w:sz w:val="20"/>
      <w:szCs w:val="20"/>
    </w:rPr>
  </w:style>
  <w:style w:type="character" w:customStyle="1" w:styleId="TextkomenteChar">
    <w:name w:val="Text komentáře Char"/>
    <w:basedOn w:val="Standardnpsmoodstavce"/>
    <w:link w:val="Textkomente"/>
    <w:uiPriority w:val="99"/>
    <w:rsid w:val="008C191C"/>
    <w:rPr>
      <w:sz w:val="20"/>
      <w:szCs w:val="20"/>
    </w:rPr>
  </w:style>
  <w:style w:type="paragraph" w:styleId="Pedmtkomente">
    <w:name w:val="annotation subject"/>
    <w:basedOn w:val="Textkomente"/>
    <w:next w:val="Textkomente"/>
    <w:link w:val="PedmtkomenteChar"/>
    <w:uiPriority w:val="99"/>
    <w:semiHidden/>
    <w:unhideWhenUsed/>
    <w:rsid w:val="008C191C"/>
    <w:rPr>
      <w:b/>
      <w:bCs/>
    </w:rPr>
  </w:style>
  <w:style w:type="character" w:customStyle="1" w:styleId="PedmtkomenteChar">
    <w:name w:val="Předmět komentáře Char"/>
    <w:basedOn w:val="TextkomenteChar"/>
    <w:link w:val="Pedmtkomente"/>
    <w:uiPriority w:val="99"/>
    <w:semiHidden/>
    <w:rsid w:val="008C19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62014">
      <w:bodyDiv w:val="1"/>
      <w:marLeft w:val="0"/>
      <w:marRight w:val="0"/>
      <w:marTop w:val="0"/>
      <w:marBottom w:val="0"/>
      <w:divBdr>
        <w:top w:val="none" w:sz="0" w:space="0" w:color="auto"/>
        <w:left w:val="none" w:sz="0" w:space="0" w:color="auto"/>
        <w:bottom w:val="none" w:sz="0" w:space="0" w:color="auto"/>
        <w:right w:val="none" w:sz="0" w:space="0" w:color="auto"/>
      </w:divBdr>
    </w:div>
    <w:div w:id="328411538">
      <w:bodyDiv w:val="1"/>
      <w:marLeft w:val="0"/>
      <w:marRight w:val="0"/>
      <w:marTop w:val="0"/>
      <w:marBottom w:val="0"/>
      <w:divBdr>
        <w:top w:val="none" w:sz="0" w:space="0" w:color="auto"/>
        <w:left w:val="none" w:sz="0" w:space="0" w:color="auto"/>
        <w:bottom w:val="none" w:sz="0" w:space="0" w:color="auto"/>
        <w:right w:val="none" w:sz="0" w:space="0" w:color="auto"/>
      </w:divBdr>
    </w:div>
    <w:div w:id="1038702167">
      <w:bodyDiv w:val="1"/>
      <w:marLeft w:val="0"/>
      <w:marRight w:val="0"/>
      <w:marTop w:val="0"/>
      <w:marBottom w:val="0"/>
      <w:divBdr>
        <w:top w:val="none" w:sz="0" w:space="0" w:color="auto"/>
        <w:left w:val="none" w:sz="0" w:space="0" w:color="auto"/>
        <w:bottom w:val="none" w:sz="0" w:space="0" w:color="auto"/>
        <w:right w:val="none" w:sz="0" w:space="0" w:color="auto"/>
      </w:divBdr>
    </w:div>
    <w:div w:id="1182624931">
      <w:bodyDiv w:val="1"/>
      <w:marLeft w:val="0"/>
      <w:marRight w:val="0"/>
      <w:marTop w:val="0"/>
      <w:marBottom w:val="0"/>
      <w:divBdr>
        <w:top w:val="none" w:sz="0" w:space="0" w:color="auto"/>
        <w:left w:val="none" w:sz="0" w:space="0" w:color="auto"/>
        <w:bottom w:val="none" w:sz="0" w:space="0" w:color="auto"/>
        <w:right w:val="none" w:sz="0" w:space="0" w:color="auto"/>
      </w:divBdr>
      <w:divsChild>
        <w:div w:id="112134453">
          <w:marLeft w:val="0"/>
          <w:marRight w:val="0"/>
          <w:marTop w:val="0"/>
          <w:marBottom w:val="0"/>
          <w:divBdr>
            <w:top w:val="none" w:sz="0" w:space="0" w:color="auto"/>
            <w:left w:val="none" w:sz="0" w:space="0" w:color="auto"/>
            <w:bottom w:val="none" w:sz="0" w:space="0" w:color="auto"/>
            <w:right w:val="none" w:sz="0" w:space="0" w:color="auto"/>
          </w:divBdr>
        </w:div>
      </w:divsChild>
    </w:div>
    <w:div w:id="1242326546">
      <w:bodyDiv w:val="1"/>
      <w:marLeft w:val="0"/>
      <w:marRight w:val="0"/>
      <w:marTop w:val="0"/>
      <w:marBottom w:val="0"/>
      <w:divBdr>
        <w:top w:val="none" w:sz="0" w:space="0" w:color="auto"/>
        <w:left w:val="none" w:sz="0" w:space="0" w:color="auto"/>
        <w:bottom w:val="none" w:sz="0" w:space="0" w:color="auto"/>
        <w:right w:val="none" w:sz="0" w:space="0" w:color="auto"/>
      </w:divBdr>
    </w:div>
    <w:div w:id="1260019017">
      <w:bodyDiv w:val="1"/>
      <w:marLeft w:val="0"/>
      <w:marRight w:val="0"/>
      <w:marTop w:val="0"/>
      <w:marBottom w:val="0"/>
      <w:divBdr>
        <w:top w:val="none" w:sz="0" w:space="0" w:color="auto"/>
        <w:left w:val="none" w:sz="0" w:space="0" w:color="auto"/>
        <w:bottom w:val="none" w:sz="0" w:space="0" w:color="auto"/>
        <w:right w:val="none" w:sz="0" w:space="0" w:color="auto"/>
      </w:divBdr>
      <w:divsChild>
        <w:div w:id="688071000">
          <w:marLeft w:val="0"/>
          <w:marRight w:val="0"/>
          <w:marTop w:val="0"/>
          <w:marBottom w:val="0"/>
          <w:divBdr>
            <w:top w:val="none" w:sz="0" w:space="0" w:color="auto"/>
            <w:left w:val="none" w:sz="0" w:space="0" w:color="auto"/>
            <w:bottom w:val="none" w:sz="0" w:space="0" w:color="auto"/>
            <w:right w:val="none" w:sz="0" w:space="0" w:color="auto"/>
          </w:divBdr>
        </w:div>
      </w:divsChild>
    </w:div>
    <w:div w:id="1287737947">
      <w:bodyDiv w:val="1"/>
      <w:marLeft w:val="0"/>
      <w:marRight w:val="0"/>
      <w:marTop w:val="0"/>
      <w:marBottom w:val="0"/>
      <w:divBdr>
        <w:top w:val="none" w:sz="0" w:space="0" w:color="auto"/>
        <w:left w:val="none" w:sz="0" w:space="0" w:color="auto"/>
        <w:bottom w:val="none" w:sz="0" w:space="0" w:color="auto"/>
        <w:right w:val="none" w:sz="0" w:space="0" w:color="auto"/>
      </w:divBdr>
    </w:div>
    <w:div w:id="1494761783">
      <w:bodyDiv w:val="1"/>
      <w:marLeft w:val="0"/>
      <w:marRight w:val="0"/>
      <w:marTop w:val="0"/>
      <w:marBottom w:val="0"/>
      <w:divBdr>
        <w:top w:val="none" w:sz="0" w:space="0" w:color="auto"/>
        <w:left w:val="none" w:sz="0" w:space="0" w:color="auto"/>
        <w:bottom w:val="none" w:sz="0" w:space="0" w:color="auto"/>
        <w:right w:val="none" w:sz="0" w:space="0" w:color="auto"/>
      </w:divBdr>
    </w:div>
    <w:div w:id="1549151000">
      <w:bodyDiv w:val="1"/>
      <w:marLeft w:val="0"/>
      <w:marRight w:val="0"/>
      <w:marTop w:val="0"/>
      <w:marBottom w:val="0"/>
      <w:divBdr>
        <w:top w:val="none" w:sz="0" w:space="0" w:color="auto"/>
        <w:left w:val="none" w:sz="0" w:space="0" w:color="auto"/>
        <w:bottom w:val="none" w:sz="0" w:space="0" w:color="auto"/>
        <w:right w:val="none" w:sz="0" w:space="0" w:color="auto"/>
      </w:divBdr>
    </w:div>
    <w:div w:id="186115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1FEE7-98A3-4788-B967-47E16946D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Pages>
  <Words>639</Words>
  <Characters>3604</Characters>
  <Application>Microsoft Office Word</Application>
  <DocSecurity>0</DocSecurity>
  <Lines>46</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Klimecká Ester, Mgr. Bc.</dc:creator>
  <cp:keywords/>
  <dc:description/>
  <cp:lastModifiedBy>Tichota Ondřej, Mgr., DiS.</cp:lastModifiedBy>
  <cp:revision>86</cp:revision>
  <cp:lastPrinted>2025-01-14T15:40:00Z</cp:lastPrinted>
  <dcterms:created xsi:type="dcterms:W3CDTF">2025-08-19T09:19:00Z</dcterms:created>
  <dcterms:modified xsi:type="dcterms:W3CDTF">2026-09-24T21:37:00Z</dcterms:modified>
</cp:coreProperties>
</file>