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6C458" w14:textId="679B11C4" w:rsidR="003E3B85" w:rsidRPr="00491D0F" w:rsidRDefault="00F43921" w:rsidP="003E3B85">
      <w:pPr>
        <w:spacing w:before="240"/>
        <w:jc w:val="right"/>
        <w:rPr>
          <w:rFonts w:ascii="Arial" w:hAnsi="Arial" w:cs="Arial"/>
          <w:color w:val="2658A5"/>
          <w:sz w:val="48"/>
          <w:szCs w:val="48"/>
          <w:lang w:val="en-GB"/>
        </w:rPr>
      </w:pPr>
      <w:r w:rsidRPr="007302A0">
        <w:rPr>
          <w:rFonts w:ascii="Arial" w:eastAsia="Calibri" w:hAnsi="Arial" w:cs="Arial"/>
          <w:b/>
          <w:bCs/>
          <w:noProof/>
          <w:sz w:val="20"/>
          <w:szCs w:val="20"/>
          <w:lang w:val="en-GB"/>
        </w:rPr>
        <w:drawing>
          <wp:anchor distT="0" distB="0" distL="114300" distR="114300" simplePos="0" relativeHeight="251659264" behindDoc="0" locked="0" layoutInCell="1" allowOverlap="1" wp14:anchorId="36A0A809" wp14:editId="583AA347">
            <wp:simplePos x="0" y="0"/>
            <wp:positionH relativeFrom="margin">
              <wp:posOffset>0</wp:posOffset>
            </wp:positionH>
            <wp:positionV relativeFrom="paragraph">
              <wp:posOffset>27940</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2658A5"/>
          <w:sz w:val="48"/>
          <w:szCs w:val="48"/>
          <w:lang w:val="en-GB"/>
        </w:rPr>
        <w:t>PRESS RELEASE</w:t>
      </w:r>
    </w:p>
    <w:p w14:paraId="0022BE11" w14:textId="4FE24414" w:rsidR="003E3B85" w:rsidRPr="00491D0F" w:rsidRDefault="003E3B85" w:rsidP="003E3B85">
      <w:pPr>
        <w:jc w:val="both"/>
        <w:rPr>
          <w:rFonts w:ascii="Montserrat" w:hAnsi="Montserrat"/>
          <w:sz w:val="20"/>
          <w:szCs w:val="20"/>
          <w:lang w:val="en-GB"/>
        </w:rPr>
      </w:pPr>
    </w:p>
    <w:p w14:paraId="1AFB5BB4" w14:textId="0CA8830A" w:rsidR="006911FD" w:rsidRPr="006911FD" w:rsidRDefault="006911FD" w:rsidP="006911FD">
      <w:pPr>
        <w:pStyle w:val="Default"/>
        <w:spacing w:after="200"/>
        <w:jc w:val="both"/>
        <w:rPr>
          <w:rFonts w:eastAsiaTheme="minorHAnsi"/>
          <w:b/>
          <w:bCs/>
          <w:color w:val="2658A5"/>
          <w:sz w:val="32"/>
          <w:szCs w:val="32"/>
          <w:lang w:val="en-GB"/>
        </w:rPr>
      </w:pPr>
      <w:r w:rsidRPr="006911FD">
        <w:rPr>
          <w:rFonts w:eastAsiaTheme="minorHAnsi"/>
          <w:b/>
          <w:bCs/>
          <w:color w:val="2658A5"/>
          <w:sz w:val="32"/>
          <w:szCs w:val="32"/>
          <w:lang w:val="en-GB"/>
        </w:rPr>
        <w:t xml:space="preserve">CTIA inspected sellers’ obligations when accepting </w:t>
      </w:r>
      <w:r w:rsidR="00491D0F" w:rsidRPr="00491D0F">
        <w:rPr>
          <w:rFonts w:eastAsiaTheme="minorHAnsi"/>
          <w:b/>
          <w:bCs/>
          <w:color w:val="2658A5"/>
          <w:sz w:val="32"/>
          <w:szCs w:val="32"/>
          <w:lang w:val="en-GB"/>
        </w:rPr>
        <w:t>card payments</w:t>
      </w:r>
      <w:r w:rsidRPr="006911FD">
        <w:rPr>
          <w:rFonts w:eastAsiaTheme="minorHAnsi"/>
          <w:b/>
          <w:bCs/>
          <w:color w:val="2658A5"/>
          <w:sz w:val="32"/>
          <w:szCs w:val="32"/>
          <w:lang w:val="en-GB"/>
        </w:rPr>
        <w:t>. It found instances of unauthorised rounding up and charging of card fees</w:t>
      </w:r>
    </w:p>
    <w:p w14:paraId="77FC4D10" w14:textId="77777777" w:rsidR="00491D0F" w:rsidRPr="00491D0F" w:rsidRDefault="006911FD" w:rsidP="006911FD">
      <w:pPr>
        <w:pStyle w:val="Default"/>
        <w:spacing w:after="200"/>
        <w:jc w:val="both"/>
        <w:rPr>
          <w:b/>
          <w:bCs/>
          <w:sz w:val="20"/>
          <w:szCs w:val="20"/>
          <w:lang w:val="en-GB"/>
        </w:rPr>
      </w:pPr>
      <w:r w:rsidRPr="006911FD">
        <w:rPr>
          <w:sz w:val="20"/>
          <w:szCs w:val="20"/>
          <w:lang w:val="en-GB"/>
        </w:rPr>
        <w:t xml:space="preserve">(Prague, 10 September 2026) </w:t>
      </w:r>
      <w:r w:rsidRPr="006911FD">
        <w:rPr>
          <w:b/>
          <w:bCs/>
          <w:sz w:val="20"/>
          <w:szCs w:val="20"/>
          <w:lang w:val="en-GB"/>
        </w:rPr>
        <w:t>From mid-March to mid-July this year, the Czech Trade Inspection Authority (ČOI) carried out an inspection activity focused on inspecting retailers’ obligations in connection with accepting payments from consumers for purchased goods or services. Of the total of 140 inspections carried out, 42 (30 per cent) revealed breaches of legal regulations within the CTIA’s surveillance scope; of these, 12 (8.57 per cent) demonstrated a breach of one of the obligations arising from the legal regulations relating to the focus of this inspection activity.</w:t>
      </w:r>
    </w:p>
    <w:p w14:paraId="23BF24D9" w14:textId="25255F77" w:rsidR="006911FD" w:rsidRPr="00491D0F" w:rsidRDefault="006911FD" w:rsidP="006911FD">
      <w:pPr>
        <w:pStyle w:val="Default"/>
        <w:spacing w:after="200"/>
        <w:jc w:val="both"/>
        <w:rPr>
          <w:sz w:val="20"/>
          <w:szCs w:val="20"/>
          <w:lang w:val="en-GB"/>
        </w:rPr>
      </w:pPr>
      <w:r w:rsidRPr="006911FD">
        <w:rPr>
          <w:sz w:val="20"/>
          <w:szCs w:val="20"/>
          <w:lang w:val="en-GB"/>
        </w:rPr>
        <w:t>The aim of the inspections was to verify the compliance with Act No. 370/2017 Coll., on Payments, as well as Regulation (EU) No. 2015/751 of the European Parliament and of the Council on interchange fees for card-based payment transactions, Regulation (EU) No 2021/1230 of the European Parliament and of the Council on cross-border payments in the Union, Regulation (EU) No 260/2012 of the European Parliament and of the Council establishing technical and business requirements for credit transfers and direct debits in euros, and compliance with other regulations within the surveillance scope of the CTIA.</w:t>
      </w:r>
    </w:p>
    <w:p w14:paraId="44B805D4" w14:textId="76F5512D" w:rsidR="006911FD" w:rsidRPr="00491D0F" w:rsidRDefault="006911FD" w:rsidP="006911FD">
      <w:pPr>
        <w:pStyle w:val="Default"/>
        <w:spacing w:after="200"/>
        <w:jc w:val="both"/>
        <w:rPr>
          <w:sz w:val="20"/>
          <w:szCs w:val="20"/>
          <w:lang w:val="en-GB"/>
        </w:rPr>
      </w:pPr>
      <w:r w:rsidRPr="006911FD">
        <w:rPr>
          <w:sz w:val="20"/>
          <w:szCs w:val="20"/>
          <w:lang w:val="en-GB"/>
        </w:rPr>
        <w:t>The inspected entities were legal entities and self-employed individuals acting as sellers who, when offering and selling goods or services to consumers – including via e-commerce – accept card payments.</w:t>
      </w:r>
    </w:p>
    <w:p w14:paraId="4E8EF5BC" w14:textId="497FBE65" w:rsidR="006911FD" w:rsidRPr="00491D0F" w:rsidRDefault="006911FD" w:rsidP="006911FD">
      <w:pPr>
        <w:pStyle w:val="Default"/>
        <w:spacing w:after="200"/>
        <w:jc w:val="both"/>
        <w:rPr>
          <w:sz w:val="20"/>
          <w:szCs w:val="20"/>
          <w:lang w:val="en-GB"/>
        </w:rPr>
      </w:pPr>
      <w:r w:rsidRPr="006911FD">
        <w:rPr>
          <w:b/>
          <w:bCs/>
          <w:sz w:val="20"/>
          <w:szCs w:val="20"/>
          <w:lang w:val="en-GB"/>
        </w:rPr>
        <w:t>The inspection activity was carried out between 16 March and 17 July 2026</w:t>
      </w:r>
      <w:r w:rsidRPr="006911FD">
        <w:rPr>
          <w:sz w:val="20"/>
          <w:szCs w:val="20"/>
          <w:lang w:val="en-GB"/>
        </w:rPr>
        <w:t xml:space="preserve"> and was included in the surveillance programme in response to consumer complaints and based on the periodic focus of inspection activities on certain specific areas falling within the CTIA’s surveillance scope. </w:t>
      </w:r>
      <w:proofErr w:type="gramStart"/>
      <w:r w:rsidRPr="006911FD">
        <w:rPr>
          <w:sz w:val="20"/>
          <w:szCs w:val="20"/>
          <w:lang w:val="en-GB"/>
        </w:rPr>
        <w:t>The majority of</w:t>
      </w:r>
      <w:proofErr w:type="gramEnd"/>
      <w:r w:rsidRPr="006911FD">
        <w:rPr>
          <w:sz w:val="20"/>
          <w:szCs w:val="20"/>
          <w:lang w:val="en-GB"/>
        </w:rPr>
        <w:t xml:space="preserve"> the inspections were carried out in small shops and smaller retail premises, including street stands, public alimentation establishments and service providers. The inspections also covered, amongst other things, e-shops and online marketplaces.</w:t>
      </w:r>
    </w:p>
    <w:p w14:paraId="7A82AB84" w14:textId="5D75FAC5" w:rsidR="006911FD" w:rsidRPr="00491D0F" w:rsidRDefault="006911FD" w:rsidP="006911FD">
      <w:pPr>
        <w:pStyle w:val="Default"/>
        <w:spacing w:after="200"/>
        <w:jc w:val="both"/>
        <w:rPr>
          <w:sz w:val="20"/>
          <w:szCs w:val="20"/>
          <w:lang w:val="en-GB"/>
        </w:rPr>
      </w:pPr>
      <w:r w:rsidRPr="006911FD">
        <w:rPr>
          <w:b/>
          <w:bCs/>
          <w:sz w:val="20"/>
          <w:szCs w:val="20"/>
          <w:lang w:val="en-GB"/>
        </w:rPr>
        <w:t>A total of 119 cases of breaches of legal regulations within the CTIA’s surveillance scope were identified during the inspection activity</w:t>
      </w:r>
      <w:r w:rsidRPr="006911FD">
        <w:rPr>
          <w:sz w:val="20"/>
          <w:szCs w:val="20"/>
          <w:lang w:val="en-GB"/>
        </w:rPr>
        <w:t xml:space="preserve">. </w:t>
      </w:r>
      <w:r w:rsidRPr="006911FD">
        <w:rPr>
          <w:b/>
          <w:bCs/>
          <w:sz w:val="20"/>
          <w:szCs w:val="20"/>
          <w:lang w:val="en-GB"/>
        </w:rPr>
        <w:t>In connection with the focus of the inspection activity</w:t>
      </w:r>
      <w:r w:rsidRPr="006911FD">
        <w:rPr>
          <w:sz w:val="20"/>
          <w:szCs w:val="20"/>
          <w:lang w:val="en-GB"/>
        </w:rPr>
        <w:t xml:space="preserve"> on verifying sellers’ obligations relating to the acceptance of payments from consumers for purchased goods or services, or the provision of related information when offering such goods or services, </w:t>
      </w:r>
      <w:r w:rsidRPr="006911FD">
        <w:rPr>
          <w:b/>
          <w:bCs/>
          <w:sz w:val="20"/>
          <w:szCs w:val="20"/>
          <w:lang w:val="en-GB"/>
        </w:rPr>
        <w:t>the following findings were made</w:t>
      </w:r>
      <w:r w:rsidRPr="006911FD">
        <w:rPr>
          <w:sz w:val="20"/>
          <w:szCs w:val="20"/>
          <w:lang w:val="en-GB"/>
        </w:rPr>
        <w:t>:</w:t>
      </w:r>
    </w:p>
    <w:p w14:paraId="778821FE" w14:textId="77777777" w:rsidR="00491D0F" w:rsidRPr="00491D0F" w:rsidRDefault="006911FD" w:rsidP="00491D0F">
      <w:pPr>
        <w:pStyle w:val="Default"/>
        <w:spacing w:after="200"/>
        <w:ind w:left="708"/>
        <w:jc w:val="both"/>
        <w:rPr>
          <w:b/>
          <w:bCs/>
          <w:sz w:val="20"/>
          <w:szCs w:val="20"/>
          <w:lang w:val="en-GB"/>
        </w:rPr>
      </w:pPr>
      <w:r w:rsidRPr="006911FD">
        <w:rPr>
          <w:sz w:val="20"/>
          <w:szCs w:val="20"/>
          <w:lang w:val="en-GB"/>
        </w:rPr>
        <w:br/>
        <w:t xml:space="preserve">- </w:t>
      </w:r>
      <w:r w:rsidRPr="006911FD">
        <w:rPr>
          <w:b/>
          <w:bCs/>
          <w:sz w:val="20"/>
          <w:szCs w:val="20"/>
          <w:lang w:val="en-GB"/>
        </w:rPr>
        <w:t>In 9 cases, shortcomings were identified in compliance with the principles of fair trading within the meaning of Section 3(1)(c) of Act No. 634/1992 Coll., on Consumer Protection</w:t>
      </w:r>
      <w:r w:rsidRPr="006911FD">
        <w:rPr>
          <w:sz w:val="20"/>
          <w:szCs w:val="20"/>
          <w:lang w:val="en-GB"/>
        </w:rPr>
        <w:t xml:space="preserve">, which imposes an obligation on sellers to sell goods and provide services at prices agreed in accordance with pricing regulations, to charge these prices correctly and, when settling the final bill, </w:t>
      </w:r>
      <w:r w:rsidRPr="006911FD">
        <w:rPr>
          <w:b/>
          <w:bCs/>
          <w:sz w:val="20"/>
          <w:szCs w:val="20"/>
          <w:lang w:val="en-GB"/>
        </w:rPr>
        <w:t>to round the total amount</w:t>
      </w:r>
      <w:r w:rsidRPr="006911FD">
        <w:rPr>
          <w:sz w:val="20"/>
          <w:szCs w:val="20"/>
          <w:lang w:val="en-GB"/>
        </w:rPr>
        <w:t xml:space="preserve"> to the nearest valid nominal value of legal tender in circulation </w:t>
      </w:r>
      <w:r w:rsidRPr="006911FD">
        <w:rPr>
          <w:b/>
          <w:bCs/>
          <w:sz w:val="20"/>
          <w:szCs w:val="20"/>
          <w:lang w:val="en-GB"/>
        </w:rPr>
        <w:t>only for cash payments</w:t>
      </w:r>
      <w:r w:rsidRPr="006911FD">
        <w:rPr>
          <w:sz w:val="20"/>
          <w:szCs w:val="20"/>
          <w:lang w:val="en-GB"/>
        </w:rPr>
        <w:t xml:space="preserve">. </w:t>
      </w:r>
      <w:r w:rsidRPr="006911FD">
        <w:rPr>
          <w:b/>
          <w:bCs/>
          <w:sz w:val="20"/>
          <w:szCs w:val="20"/>
          <w:lang w:val="en-GB"/>
        </w:rPr>
        <w:t>In these cases, the sellers unjustifiably rounded the final amount charged to the inspectors,</w:t>
      </w:r>
      <w:r w:rsidRPr="006911FD">
        <w:rPr>
          <w:sz w:val="20"/>
          <w:szCs w:val="20"/>
          <w:lang w:val="en-GB"/>
        </w:rPr>
        <w:t xml:space="preserve"> acting on behalf of consumers, </w:t>
      </w:r>
      <w:r w:rsidRPr="006911FD">
        <w:rPr>
          <w:b/>
          <w:bCs/>
          <w:sz w:val="20"/>
          <w:szCs w:val="20"/>
          <w:lang w:val="en-GB"/>
        </w:rPr>
        <w:t xml:space="preserve">when the purchase was paid by </w:t>
      </w:r>
      <w:r w:rsidR="00491D0F" w:rsidRPr="00491D0F">
        <w:rPr>
          <w:b/>
          <w:bCs/>
          <w:sz w:val="20"/>
          <w:szCs w:val="20"/>
          <w:lang w:val="en-GB"/>
        </w:rPr>
        <w:t>a</w:t>
      </w:r>
      <w:r w:rsidRPr="006911FD">
        <w:rPr>
          <w:b/>
          <w:bCs/>
          <w:sz w:val="20"/>
          <w:szCs w:val="20"/>
          <w:lang w:val="en-GB"/>
        </w:rPr>
        <w:t xml:space="preserve"> card.</w:t>
      </w:r>
    </w:p>
    <w:p w14:paraId="37F9C65B" w14:textId="3C8CFA85" w:rsidR="006911FD" w:rsidRPr="006911FD" w:rsidRDefault="006911FD" w:rsidP="00491D0F">
      <w:pPr>
        <w:pStyle w:val="Default"/>
        <w:spacing w:after="200"/>
        <w:ind w:left="708"/>
        <w:jc w:val="both"/>
        <w:rPr>
          <w:sz w:val="20"/>
          <w:szCs w:val="20"/>
          <w:lang w:val="en-GB"/>
        </w:rPr>
      </w:pPr>
      <w:r w:rsidRPr="006911FD">
        <w:rPr>
          <w:sz w:val="20"/>
          <w:szCs w:val="20"/>
          <w:lang w:val="en-GB"/>
        </w:rPr>
        <w:t xml:space="preserve">- </w:t>
      </w:r>
      <w:r w:rsidRPr="006911FD">
        <w:rPr>
          <w:b/>
          <w:bCs/>
          <w:sz w:val="20"/>
          <w:szCs w:val="20"/>
          <w:lang w:val="en-GB"/>
        </w:rPr>
        <w:t>In 4 cases, an infringement of the provisions of Section 254(2)(a) of Act No. 370/2017 Coll., on Payments, was found</w:t>
      </w:r>
      <w:r w:rsidRPr="006911FD">
        <w:rPr>
          <w:sz w:val="20"/>
          <w:szCs w:val="20"/>
          <w:lang w:val="en-GB"/>
        </w:rPr>
        <w:t xml:space="preserve">, where </w:t>
      </w:r>
      <w:r w:rsidRPr="006911FD">
        <w:rPr>
          <w:b/>
          <w:bCs/>
          <w:sz w:val="20"/>
          <w:szCs w:val="20"/>
          <w:lang w:val="en-GB"/>
        </w:rPr>
        <w:t>sellers charged a fee for the settlement of a purchase made by a consumer payment card.</w:t>
      </w:r>
      <w:r w:rsidRPr="006911FD">
        <w:rPr>
          <w:sz w:val="20"/>
          <w:szCs w:val="20"/>
          <w:lang w:val="en-GB"/>
        </w:rPr>
        <w:t xml:space="preserve"> If a consumer chooses to pay by payment card, </w:t>
      </w:r>
      <w:r w:rsidRPr="006911FD">
        <w:rPr>
          <w:b/>
          <w:bCs/>
          <w:sz w:val="20"/>
          <w:szCs w:val="20"/>
          <w:lang w:val="en-GB"/>
        </w:rPr>
        <w:t>the seller</w:t>
      </w:r>
      <w:r w:rsidRPr="006911FD">
        <w:rPr>
          <w:sz w:val="20"/>
          <w:szCs w:val="20"/>
          <w:lang w:val="en-GB"/>
        </w:rPr>
        <w:t xml:space="preserve"> – that is, the recipient of the payment transaction – </w:t>
      </w:r>
      <w:r w:rsidRPr="006911FD">
        <w:rPr>
          <w:b/>
          <w:bCs/>
          <w:sz w:val="20"/>
          <w:szCs w:val="20"/>
          <w:lang w:val="en-GB"/>
        </w:rPr>
        <w:t>must not charge the consumer any fee</w:t>
      </w:r>
      <w:r w:rsidRPr="006911FD">
        <w:rPr>
          <w:sz w:val="20"/>
          <w:szCs w:val="20"/>
          <w:lang w:val="en-GB"/>
        </w:rPr>
        <w:t xml:space="preserve"> for this payment, unlike in situations where, for example, a corporate payment card is used for payment, </w:t>
      </w:r>
      <w:r w:rsidRPr="006911FD">
        <w:rPr>
          <w:b/>
          <w:bCs/>
          <w:sz w:val="20"/>
          <w:szCs w:val="20"/>
          <w:lang w:val="en-GB"/>
        </w:rPr>
        <w:t>even if the consumer is informed of the fee in advance</w:t>
      </w:r>
      <w:r w:rsidRPr="006911FD">
        <w:rPr>
          <w:sz w:val="20"/>
          <w:szCs w:val="20"/>
          <w:lang w:val="en-GB"/>
        </w:rPr>
        <w:t>. In connection with this inspection activity, a total of</w:t>
      </w:r>
      <w:r w:rsidRPr="006911FD">
        <w:rPr>
          <w:b/>
          <w:bCs/>
          <w:sz w:val="20"/>
          <w:szCs w:val="20"/>
          <w:lang w:val="en-GB"/>
        </w:rPr>
        <w:t xml:space="preserve"> 20 penalty measures, amounting to a total </w:t>
      </w:r>
      <w:r w:rsidRPr="006911FD">
        <w:rPr>
          <w:b/>
          <w:bCs/>
          <w:sz w:val="20"/>
          <w:szCs w:val="20"/>
          <w:lang w:val="en-GB"/>
        </w:rPr>
        <w:lastRenderedPageBreak/>
        <w:t xml:space="preserve">of 74,000 CZK, have so far become effective. </w:t>
      </w:r>
      <w:r w:rsidRPr="006911FD">
        <w:rPr>
          <w:sz w:val="20"/>
          <w:szCs w:val="20"/>
          <w:lang w:val="en-GB"/>
        </w:rPr>
        <w:t xml:space="preserve">The CTIA will continue to inspect sellers’ compliance with their obligations when accepting payment by payment card for consumer purchases, particularly </w:t>
      </w:r>
      <w:proofErr w:type="gramStart"/>
      <w:r w:rsidRPr="006911FD">
        <w:rPr>
          <w:sz w:val="20"/>
          <w:szCs w:val="20"/>
          <w:lang w:val="en-GB"/>
        </w:rPr>
        <w:t>in light of</w:t>
      </w:r>
      <w:proofErr w:type="gramEnd"/>
      <w:r w:rsidRPr="006911FD">
        <w:rPr>
          <w:sz w:val="20"/>
          <w:szCs w:val="20"/>
          <w:lang w:val="en-GB"/>
        </w:rPr>
        <w:t xml:space="preserve"> the above findings.</w:t>
      </w:r>
    </w:p>
    <w:p w14:paraId="67688730" w14:textId="7F848BFD" w:rsidR="001B34D9" w:rsidRPr="00491D0F" w:rsidRDefault="001B34D9" w:rsidP="006911FD">
      <w:pPr>
        <w:pStyle w:val="Default"/>
        <w:spacing w:after="200"/>
        <w:jc w:val="both"/>
        <w:rPr>
          <w:sz w:val="20"/>
          <w:szCs w:val="20"/>
          <w:lang w:val="en-GB"/>
        </w:rPr>
      </w:pPr>
    </w:p>
    <w:sectPr w:rsidR="001B34D9" w:rsidRPr="00491D0F"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4DE0E" w14:textId="77777777" w:rsidR="00CE24D7" w:rsidRDefault="00CE24D7" w:rsidP="00807D68">
      <w:pPr>
        <w:spacing w:after="0" w:line="240" w:lineRule="auto"/>
      </w:pPr>
      <w:r>
        <w:separator/>
      </w:r>
    </w:p>
  </w:endnote>
  <w:endnote w:type="continuationSeparator" w:id="0">
    <w:p w14:paraId="44B4F76A" w14:textId="77777777" w:rsidR="00CE24D7" w:rsidRDefault="00CE24D7"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BFD80" w14:textId="77777777" w:rsidR="001076EE" w:rsidRPr="000B3C18" w:rsidRDefault="001076EE" w:rsidP="001076EE">
    <w:pPr>
      <w:tabs>
        <w:tab w:val="left" w:pos="8295"/>
      </w:tabs>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62B1346F" wp14:editId="43356376">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0120E523" w14:textId="77777777" w:rsidR="001076EE" w:rsidRPr="007F2BC4" w:rsidRDefault="001076EE" w:rsidP="001076EE">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62B1346F"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0120E523" w14:textId="77777777" w:rsidR="001076EE" w:rsidRPr="007F2BC4" w:rsidRDefault="001076EE" w:rsidP="001076EE">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7235773D" wp14:editId="082C430B">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660324E9" w14:textId="77777777" w:rsidR="001076EE" w:rsidRPr="00DC6D14" w:rsidRDefault="001076EE" w:rsidP="001076EE">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7235773D"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660324E9" w14:textId="77777777" w:rsidR="001076EE" w:rsidRPr="00DC6D14" w:rsidRDefault="001076EE" w:rsidP="001076EE">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r>
      <w:rPr>
        <w:rFonts w:ascii="Arial" w:hAnsi="Arial" w:cs="Arial"/>
        <w:bCs/>
        <w:color w:val="2658A5"/>
        <w:sz w:val="18"/>
        <w:szCs w:val="18"/>
      </w:rPr>
      <w:tab/>
    </w:r>
  </w:p>
  <w:p w14:paraId="2E86EAD4" w14:textId="2B795E7F" w:rsidR="00F34A6A" w:rsidRPr="001076EE" w:rsidRDefault="001076EE" w:rsidP="001076EE">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BBD45" w14:textId="77777777" w:rsidR="00CE24D7" w:rsidRDefault="00CE24D7" w:rsidP="00807D68">
      <w:pPr>
        <w:spacing w:after="0" w:line="240" w:lineRule="auto"/>
      </w:pPr>
      <w:r>
        <w:separator/>
      </w:r>
    </w:p>
  </w:footnote>
  <w:footnote w:type="continuationSeparator" w:id="0">
    <w:p w14:paraId="19777E9D" w14:textId="77777777" w:rsidR="00CE24D7" w:rsidRDefault="00CE24D7"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17361A67"/>
    <w:multiLevelType w:val="hybridMultilevel"/>
    <w:tmpl w:val="B854E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3"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8156BC6"/>
    <w:multiLevelType w:val="hybridMultilevel"/>
    <w:tmpl w:val="DE8EB2BE"/>
    <w:lvl w:ilvl="0" w:tplc="5F3E50B6">
      <w:numFmt w:val="bullet"/>
      <w:lvlText w:val="-"/>
      <w:lvlJc w:val="left"/>
      <w:pPr>
        <w:ind w:left="720" w:hanging="360"/>
      </w:pPr>
      <w:rPr>
        <w:rFonts w:ascii="Arial" w:eastAsia="Calibri" w:hAnsi="Arial" w:cs="Aria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6"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7" w15:restartNumberingAfterBreak="0">
    <w:nsid w:val="39B22263"/>
    <w:multiLevelType w:val="hybridMultilevel"/>
    <w:tmpl w:val="E6D2964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9" w15:restartNumberingAfterBreak="0">
    <w:nsid w:val="41BB5630"/>
    <w:multiLevelType w:val="hybridMultilevel"/>
    <w:tmpl w:val="D9A4EE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11"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12"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5"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3604756">
    <w:abstractNumId w:val="0"/>
  </w:num>
  <w:num w:numId="2" w16cid:durableId="1588807804">
    <w:abstractNumId w:val="12"/>
  </w:num>
  <w:num w:numId="3" w16cid:durableId="2046130409">
    <w:abstractNumId w:val="5"/>
  </w:num>
  <w:num w:numId="4" w16cid:durableId="970135729">
    <w:abstractNumId w:val="14"/>
  </w:num>
  <w:num w:numId="5" w16cid:durableId="810757378">
    <w:abstractNumId w:val="15"/>
  </w:num>
  <w:num w:numId="6" w16cid:durableId="2012680817">
    <w:abstractNumId w:val="8"/>
  </w:num>
  <w:num w:numId="7" w16cid:durableId="1584145022">
    <w:abstractNumId w:val="6"/>
  </w:num>
  <w:num w:numId="8" w16cid:durableId="258416908">
    <w:abstractNumId w:val="2"/>
  </w:num>
  <w:num w:numId="9" w16cid:durableId="2041008875">
    <w:abstractNumId w:val="10"/>
  </w:num>
  <w:num w:numId="10" w16cid:durableId="748425679">
    <w:abstractNumId w:val="3"/>
  </w:num>
  <w:num w:numId="11" w16cid:durableId="683747152">
    <w:abstractNumId w:val="11"/>
  </w:num>
  <w:num w:numId="12" w16cid:durableId="117376252">
    <w:abstractNumId w:val="13"/>
  </w:num>
  <w:num w:numId="13" w16cid:durableId="672955883">
    <w:abstractNumId w:val="1"/>
  </w:num>
  <w:num w:numId="14" w16cid:durableId="308286621">
    <w:abstractNumId w:val="9"/>
  </w:num>
  <w:num w:numId="15" w16cid:durableId="127089600">
    <w:abstractNumId w:val="7"/>
  </w:num>
  <w:num w:numId="16" w16cid:durableId="172456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3292"/>
    <w:rsid w:val="00003762"/>
    <w:rsid w:val="00007B29"/>
    <w:rsid w:val="00025AC8"/>
    <w:rsid w:val="00042882"/>
    <w:rsid w:val="00045AD0"/>
    <w:rsid w:val="0004766E"/>
    <w:rsid w:val="000537D7"/>
    <w:rsid w:val="00056E6A"/>
    <w:rsid w:val="000741E3"/>
    <w:rsid w:val="00077126"/>
    <w:rsid w:val="00083248"/>
    <w:rsid w:val="00084156"/>
    <w:rsid w:val="00087658"/>
    <w:rsid w:val="0009503C"/>
    <w:rsid w:val="000B2AE5"/>
    <w:rsid w:val="000B3C18"/>
    <w:rsid w:val="000B3ECB"/>
    <w:rsid w:val="000C03BE"/>
    <w:rsid w:val="000C6B79"/>
    <w:rsid w:val="000E2C64"/>
    <w:rsid w:val="001049DE"/>
    <w:rsid w:val="001071E4"/>
    <w:rsid w:val="0010721B"/>
    <w:rsid w:val="001076EE"/>
    <w:rsid w:val="00112F91"/>
    <w:rsid w:val="00113FA9"/>
    <w:rsid w:val="00123BAE"/>
    <w:rsid w:val="00127B69"/>
    <w:rsid w:val="001343A0"/>
    <w:rsid w:val="00142850"/>
    <w:rsid w:val="00143E7B"/>
    <w:rsid w:val="001472E1"/>
    <w:rsid w:val="00152827"/>
    <w:rsid w:val="00160845"/>
    <w:rsid w:val="00162432"/>
    <w:rsid w:val="00164BBC"/>
    <w:rsid w:val="00167F18"/>
    <w:rsid w:val="00173F4D"/>
    <w:rsid w:val="00175775"/>
    <w:rsid w:val="00192BDE"/>
    <w:rsid w:val="001A3313"/>
    <w:rsid w:val="001A3423"/>
    <w:rsid w:val="001A6C39"/>
    <w:rsid w:val="001B34D9"/>
    <w:rsid w:val="001C26F7"/>
    <w:rsid w:val="001C38DE"/>
    <w:rsid w:val="001C7E37"/>
    <w:rsid w:val="001D0E07"/>
    <w:rsid w:val="001D158E"/>
    <w:rsid w:val="001D15CB"/>
    <w:rsid w:val="001D5235"/>
    <w:rsid w:val="001E4127"/>
    <w:rsid w:val="001E6858"/>
    <w:rsid w:val="001E6864"/>
    <w:rsid w:val="001E6914"/>
    <w:rsid w:val="001F4BE6"/>
    <w:rsid w:val="001F70DF"/>
    <w:rsid w:val="002008FE"/>
    <w:rsid w:val="002012CC"/>
    <w:rsid w:val="00215159"/>
    <w:rsid w:val="00217BBD"/>
    <w:rsid w:val="00225F02"/>
    <w:rsid w:val="00232CBE"/>
    <w:rsid w:val="00244A62"/>
    <w:rsid w:val="00247502"/>
    <w:rsid w:val="002530DD"/>
    <w:rsid w:val="00254E1E"/>
    <w:rsid w:val="0026408B"/>
    <w:rsid w:val="00266E78"/>
    <w:rsid w:val="0027255E"/>
    <w:rsid w:val="002726E7"/>
    <w:rsid w:val="00273118"/>
    <w:rsid w:val="0027431F"/>
    <w:rsid w:val="00290A08"/>
    <w:rsid w:val="00291B33"/>
    <w:rsid w:val="0029256D"/>
    <w:rsid w:val="002A1136"/>
    <w:rsid w:val="002A1A8E"/>
    <w:rsid w:val="002A33F3"/>
    <w:rsid w:val="002A60D0"/>
    <w:rsid w:val="002B3033"/>
    <w:rsid w:val="002B7C92"/>
    <w:rsid w:val="002C050A"/>
    <w:rsid w:val="002C2749"/>
    <w:rsid w:val="002C5FB7"/>
    <w:rsid w:val="002E633F"/>
    <w:rsid w:val="002F11A1"/>
    <w:rsid w:val="002F20E5"/>
    <w:rsid w:val="0030089C"/>
    <w:rsid w:val="00314DCA"/>
    <w:rsid w:val="00320321"/>
    <w:rsid w:val="003218F7"/>
    <w:rsid w:val="00325DD5"/>
    <w:rsid w:val="00326196"/>
    <w:rsid w:val="003316B0"/>
    <w:rsid w:val="00331CA6"/>
    <w:rsid w:val="00332038"/>
    <w:rsid w:val="00335BC2"/>
    <w:rsid w:val="00347084"/>
    <w:rsid w:val="00350179"/>
    <w:rsid w:val="003512E4"/>
    <w:rsid w:val="00351811"/>
    <w:rsid w:val="00351DAF"/>
    <w:rsid w:val="00356AB4"/>
    <w:rsid w:val="00357ED5"/>
    <w:rsid w:val="00361995"/>
    <w:rsid w:val="00363379"/>
    <w:rsid w:val="003641AE"/>
    <w:rsid w:val="00367F06"/>
    <w:rsid w:val="00373649"/>
    <w:rsid w:val="0037728A"/>
    <w:rsid w:val="00380F99"/>
    <w:rsid w:val="00394455"/>
    <w:rsid w:val="003A1EB3"/>
    <w:rsid w:val="003A2F6D"/>
    <w:rsid w:val="003B0C20"/>
    <w:rsid w:val="003D1767"/>
    <w:rsid w:val="003D1836"/>
    <w:rsid w:val="003E0576"/>
    <w:rsid w:val="003E3B73"/>
    <w:rsid w:val="003E3B85"/>
    <w:rsid w:val="003F2528"/>
    <w:rsid w:val="003F5FCD"/>
    <w:rsid w:val="00403A3E"/>
    <w:rsid w:val="00422464"/>
    <w:rsid w:val="00432A70"/>
    <w:rsid w:val="0043419B"/>
    <w:rsid w:val="004535C3"/>
    <w:rsid w:val="004603EC"/>
    <w:rsid w:val="0046373B"/>
    <w:rsid w:val="00465862"/>
    <w:rsid w:val="00466260"/>
    <w:rsid w:val="00471428"/>
    <w:rsid w:val="00481BC7"/>
    <w:rsid w:val="00491115"/>
    <w:rsid w:val="00491D0F"/>
    <w:rsid w:val="00492B16"/>
    <w:rsid w:val="00493D8C"/>
    <w:rsid w:val="00494584"/>
    <w:rsid w:val="00494ACB"/>
    <w:rsid w:val="00495788"/>
    <w:rsid w:val="0049637D"/>
    <w:rsid w:val="004B1BD5"/>
    <w:rsid w:val="004C7727"/>
    <w:rsid w:val="004C7AEE"/>
    <w:rsid w:val="004E699A"/>
    <w:rsid w:val="004E73A7"/>
    <w:rsid w:val="004F3AA9"/>
    <w:rsid w:val="004F6A48"/>
    <w:rsid w:val="004F7315"/>
    <w:rsid w:val="005064D6"/>
    <w:rsid w:val="005257CC"/>
    <w:rsid w:val="00526090"/>
    <w:rsid w:val="0052640B"/>
    <w:rsid w:val="0052790D"/>
    <w:rsid w:val="00540278"/>
    <w:rsid w:val="00541FB6"/>
    <w:rsid w:val="005545CE"/>
    <w:rsid w:val="00557B14"/>
    <w:rsid w:val="005702A5"/>
    <w:rsid w:val="00571350"/>
    <w:rsid w:val="00572CFD"/>
    <w:rsid w:val="00574953"/>
    <w:rsid w:val="00577B57"/>
    <w:rsid w:val="005837B9"/>
    <w:rsid w:val="0059117C"/>
    <w:rsid w:val="005923C5"/>
    <w:rsid w:val="00592C1D"/>
    <w:rsid w:val="005A0D18"/>
    <w:rsid w:val="005A0FA4"/>
    <w:rsid w:val="005A1181"/>
    <w:rsid w:val="005A2DEE"/>
    <w:rsid w:val="005A3A49"/>
    <w:rsid w:val="005B2A55"/>
    <w:rsid w:val="005B408C"/>
    <w:rsid w:val="005C1C2C"/>
    <w:rsid w:val="005C435F"/>
    <w:rsid w:val="005C7BB4"/>
    <w:rsid w:val="005D105B"/>
    <w:rsid w:val="005E04A6"/>
    <w:rsid w:val="005E0DE9"/>
    <w:rsid w:val="005E176F"/>
    <w:rsid w:val="005E32DE"/>
    <w:rsid w:val="005E3D23"/>
    <w:rsid w:val="005E3D51"/>
    <w:rsid w:val="005E755C"/>
    <w:rsid w:val="005F0256"/>
    <w:rsid w:val="005F02EF"/>
    <w:rsid w:val="005F0797"/>
    <w:rsid w:val="005F0D9E"/>
    <w:rsid w:val="005F2E97"/>
    <w:rsid w:val="005F3A2B"/>
    <w:rsid w:val="005F4DD2"/>
    <w:rsid w:val="005F540D"/>
    <w:rsid w:val="005F776A"/>
    <w:rsid w:val="005F7F53"/>
    <w:rsid w:val="00600999"/>
    <w:rsid w:val="0060731F"/>
    <w:rsid w:val="00607C21"/>
    <w:rsid w:val="0061127C"/>
    <w:rsid w:val="0062137F"/>
    <w:rsid w:val="0062723D"/>
    <w:rsid w:val="00647532"/>
    <w:rsid w:val="00650040"/>
    <w:rsid w:val="006517CE"/>
    <w:rsid w:val="00653A86"/>
    <w:rsid w:val="0065534B"/>
    <w:rsid w:val="00655DC6"/>
    <w:rsid w:val="00656822"/>
    <w:rsid w:val="00656999"/>
    <w:rsid w:val="00663C7B"/>
    <w:rsid w:val="00667CA9"/>
    <w:rsid w:val="0067161E"/>
    <w:rsid w:val="00680E41"/>
    <w:rsid w:val="00681DA5"/>
    <w:rsid w:val="0068695E"/>
    <w:rsid w:val="006872B8"/>
    <w:rsid w:val="006911FD"/>
    <w:rsid w:val="006957ED"/>
    <w:rsid w:val="006A3F4D"/>
    <w:rsid w:val="006C3C84"/>
    <w:rsid w:val="006D428D"/>
    <w:rsid w:val="006E3BFD"/>
    <w:rsid w:val="006E4666"/>
    <w:rsid w:val="006F6413"/>
    <w:rsid w:val="0070124B"/>
    <w:rsid w:val="00705A70"/>
    <w:rsid w:val="00713366"/>
    <w:rsid w:val="00713994"/>
    <w:rsid w:val="00716BC9"/>
    <w:rsid w:val="0072332D"/>
    <w:rsid w:val="00723AB3"/>
    <w:rsid w:val="00723EFD"/>
    <w:rsid w:val="0073117A"/>
    <w:rsid w:val="00735C36"/>
    <w:rsid w:val="0074340E"/>
    <w:rsid w:val="00751AA2"/>
    <w:rsid w:val="00752488"/>
    <w:rsid w:val="0075374E"/>
    <w:rsid w:val="00760B94"/>
    <w:rsid w:val="00767F8F"/>
    <w:rsid w:val="0077090F"/>
    <w:rsid w:val="00771930"/>
    <w:rsid w:val="00774999"/>
    <w:rsid w:val="00787B23"/>
    <w:rsid w:val="00794AD6"/>
    <w:rsid w:val="00797487"/>
    <w:rsid w:val="007A5E5F"/>
    <w:rsid w:val="007B074A"/>
    <w:rsid w:val="007C3195"/>
    <w:rsid w:val="007C3CD8"/>
    <w:rsid w:val="007C40CF"/>
    <w:rsid w:val="007C7FDD"/>
    <w:rsid w:val="007D088B"/>
    <w:rsid w:val="007E1A63"/>
    <w:rsid w:val="007E237F"/>
    <w:rsid w:val="007E4F0B"/>
    <w:rsid w:val="007E5975"/>
    <w:rsid w:val="007F60F7"/>
    <w:rsid w:val="008040D0"/>
    <w:rsid w:val="008047BF"/>
    <w:rsid w:val="008078D2"/>
    <w:rsid w:val="00807D68"/>
    <w:rsid w:val="0081160A"/>
    <w:rsid w:val="0081271E"/>
    <w:rsid w:val="00820008"/>
    <w:rsid w:val="0082012A"/>
    <w:rsid w:val="00820628"/>
    <w:rsid w:val="0082074C"/>
    <w:rsid w:val="008221A7"/>
    <w:rsid w:val="0084569F"/>
    <w:rsid w:val="00857BBA"/>
    <w:rsid w:val="00860A29"/>
    <w:rsid w:val="00862CB6"/>
    <w:rsid w:val="008632A4"/>
    <w:rsid w:val="00863463"/>
    <w:rsid w:val="00864348"/>
    <w:rsid w:val="00867DDD"/>
    <w:rsid w:val="00867FE0"/>
    <w:rsid w:val="00871B55"/>
    <w:rsid w:val="00872110"/>
    <w:rsid w:val="008764A5"/>
    <w:rsid w:val="00885497"/>
    <w:rsid w:val="00890135"/>
    <w:rsid w:val="0089254F"/>
    <w:rsid w:val="008931D5"/>
    <w:rsid w:val="008C7362"/>
    <w:rsid w:val="008D06A4"/>
    <w:rsid w:val="008D0EB8"/>
    <w:rsid w:val="008D14D2"/>
    <w:rsid w:val="008D428E"/>
    <w:rsid w:val="008D58EF"/>
    <w:rsid w:val="008F22C0"/>
    <w:rsid w:val="009023B0"/>
    <w:rsid w:val="0090767D"/>
    <w:rsid w:val="00917CF5"/>
    <w:rsid w:val="0092339C"/>
    <w:rsid w:val="00923D14"/>
    <w:rsid w:val="009266E9"/>
    <w:rsid w:val="0093072B"/>
    <w:rsid w:val="00933062"/>
    <w:rsid w:val="009333D3"/>
    <w:rsid w:val="009418B2"/>
    <w:rsid w:val="00947353"/>
    <w:rsid w:val="00953EF6"/>
    <w:rsid w:val="00954099"/>
    <w:rsid w:val="00955DA0"/>
    <w:rsid w:val="00963E3E"/>
    <w:rsid w:val="0097002E"/>
    <w:rsid w:val="00970F06"/>
    <w:rsid w:val="00971704"/>
    <w:rsid w:val="00972523"/>
    <w:rsid w:val="00975F65"/>
    <w:rsid w:val="0098033A"/>
    <w:rsid w:val="00987BA8"/>
    <w:rsid w:val="0099005E"/>
    <w:rsid w:val="00992B41"/>
    <w:rsid w:val="00994318"/>
    <w:rsid w:val="009A419B"/>
    <w:rsid w:val="009A49E2"/>
    <w:rsid w:val="009A7490"/>
    <w:rsid w:val="009C191D"/>
    <w:rsid w:val="009C6AFE"/>
    <w:rsid w:val="009E32D6"/>
    <w:rsid w:val="009F1822"/>
    <w:rsid w:val="009F25E5"/>
    <w:rsid w:val="009F2D9C"/>
    <w:rsid w:val="009F4279"/>
    <w:rsid w:val="009F5ADB"/>
    <w:rsid w:val="00A04DA8"/>
    <w:rsid w:val="00A13513"/>
    <w:rsid w:val="00A14E7B"/>
    <w:rsid w:val="00A161BD"/>
    <w:rsid w:val="00A2428C"/>
    <w:rsid w:val="00A36B0E"/>
    <w:rsid w:val="00A510B4"/>
    <w:rsid w:val="00A51854"/>
    <w:rsid w:val="00A51959"/>
    <w:rsid w:val="00A53580"/>
    <w:rsid w:val="00A54485"/>
    <w:rsid w:val="00A558E2"/>
    <w:rsid w:val="00A57931"/>
    <w:rsid w:val="00A63376"/>
    <w:rsid w:val="00A64DC1"/>
    <w:rsid w:val="00A66848"/>
    <w:rsid w:val="00A81783"/>
    <w:rsid w:val="00A92DB6"/>
    <w:rsid w:val="00A93B4E"/>
    <w:rsid w:val="00A95A44"/>
    <w:rsid w:val="00AB2D4A"/>
    <w:rsid w:val="00AD2EE9"/>
    <w:rsid w:val="00AF0445"/>
    <w:rsid w:val="00AF5C19"/>
    <w:rsid w:val="00AF5F5D"/>
    <w:rsid w:val="00AF6C9F"/>
    <w:rsid w:val="00B0150D"/>
    <w:rsid w:val="00B0403D"/>
    <w:rsid w:val="00B04C40"/>
    <w:rsid w:val="00B05C63"/>
    <w:rsid w:val="00B05ECE"/>
    <w:rsid w:val="00B205BA"/>
    <w:rsid w:val="00B20F24"/>
    <w:rsid w:val="00B25A18"/>
    <w:rsid w:val="00B35984"/>
    <w:rsid w:val="00B35D98"/>
    <w:rsid w:val="00B37AAB"/>
    <w:rsid w:val="00B40171"/>
    <w:rsid w:val="00B44F4B"/>
    <w:rsid w:val="00B473BD"/>
    <w:rsid w:val="00B47B0E"/>
    <w:rsid w:val="00B525B4"/>
    <w:rsid w:val="00B553B1"/>
    <w:rsid w:val="00B6169B"/>
    <w:rsid w:val="00B97A9C"/>
    <w:rsid w:val="00BA1045"/>
    <w:rsid w:val="00BB59DF"/>
    <w:rsid w:val="00BD02A1"/>
    <w:rsid w:val="00BD0680"/>
    <w:rsid w:val="00BE29F2"/>
    <w:rsid w:val="00BF40BB"/>
    <w:rsid w:val="00BF5CA1"/>
    <w:rsid w:val="00BF7B7B"/>
    <w:rsid w:val="00C06823"/>
    <w:rsid w:val="00C101AE"/>
    <w:rsid w:val="00C17C17"/>
    <w:rsid w:val="00C21585"/>
    <w:rsid w:val="00C217AA"/>
    <w:rsid w:val="00C241B4"/>
    <w:rsid w:val="00C3352C"/>
    <w:rsid w:val="00C36233"/>
    <w:rsid w:val="00C36C05"/>
    <w:rsid w:val="00C41758"/>
    <w:rsid w:val="00C43D14"/>
    <w:rsid w:val="00C4704F"/>
    <w:rsid w:val="00C53772"/>
    <w:rsid w:val="00C64499"/>
    <w:rsid w:val="00C70F51"/>
    <w:rsid w:val="00C72655"/>
    <w:rsid w:val="00C751DD"/>
    <w:rsid w:val="00C8133E"/>
    <w:rsid w:val="00C85899"/>
    <w:rsid w:val="00C9077A"/>
    <w:rsid w:val="00C92240"/>
    <w:rsid w:val="00C937E8"/>
    <w:rsid w:val="00C9701C"/>
    <w:rsid w:val="00C97D46"/>
    <w:rsid w:val="00CB091F"/>
    <w:rsid w:val="00CC49A8"/>
    <w:rsid w:val="00CC4AAF"/>
    <w:rsid w:val="00CD11D7"/>
    <w:rsid w:val="00CD1AEA"/>
    <w:rsid w:val="00CD28E3"/>
    <w:rsid w:val="00CD370E"/>
    <w:rsid w:val="00CE24D7"/>
    <w:rsid w:val="00CE40CA"/>
    <w:rsid w:val="00CE5A4B"/>
    <w:rsid w:val="00CE6C09"/>
    <w:rsid w:val="00CE7269"/>
    <w:rsid w:val="00CF3CF9"/>
    <w:rsid w:val="00CF6F01"/>
    <w:rsid w:val="00D00046"/>
    <w:rsid w:val="00D03238"/>
    <w:rsid w:val="00D100A7"/>
    <w:rsid w:val="00D13339"/>
    <w:rsid w:val="00D143D2"/>
    <w:rsid w:val="00D16725"/>
    <w:rsid w:val="00D2107A"/>
    <w:rsid w:val="00D2224B"/>
    <w:rsid w:val="00D230ED"/>
    <w:rsid w:val="00D327B9"/>
    <w:rsid w:val="00D329DD"/>
    <w:rsid w:val="00D33380"/>
    <w:rsid w:val="00D34962"/>
    <w:rsid w:val="00D438BE"/>
    <w:rsid w:val="00D54C32"/>
    <w:rsid w:val="00D66CD2"/>
    <w:rsid w:val="00D740FF"/>
    <w:rsid w:val="00D763A0"/>
    <w:rsid w:val="00D806B7"/>
    <w:rsid w:val="00D8110B"/>
    <w:rsid w:val="00D82F55"/>
    <w:rsid w:val="00D8316C"/>
    <w:rsid w:val="00D854CB"/>
    <w:rsid w:val="00D93C0C"/>
    <w:rsid w:val="00D966A5"/>
    <w:rsid w:val="00DA113C"/>
    <w:rsid w:val="00DA1E14"/>
    <w:rsid w:val="00DB2730"/>
    <w:rsid w:val="00DC0400"/>
    <w:rsid w:val="00DC29C8"/>
    <w:rsid w:val="00DC5B7E"/>
    <w:rsid w:val="00DC5BC3"/>
    <w:rsid w:val="00DD50A3"/>
    <w:rsid w:val="00DE66EF"/>
    <w:rsid w:val="00DF4E85"/>
    <w:rsid w:val="00DF552F"/>
    <w:rsid w:val="00E01D17"/>
    <w:rsid w:val="00E07A2F"/>
    <w:rsid w:val="00E10228"/>
    <w:rsid w:val="00E17BF0"/>
    <w:rsid w:val="00E20DA1"/>
    <w:rsid w:val="00E278D8"/>
    <w:rsid w:val="00E27FB5"/>
    <w:rsid w:val="00E30299"/>
    <w:rsid w:val="00E34EDA"/>
    <w:rsid w:val="00E41435"/>
    <w:rsid w:val="00E53779"/>
    <w:rsid w:val="00E561BC"/>
    <w:rsid w:val="00E604AE"/>
    <w:rsid w:val="00E6401A"/>
    <w:rsid w:val="00E64BC8"/>
    <w:rsid w:val="00E654B5"/>
    <w:rsid w:val="00E8312C"/>
    <w:rsid w:val="00E90D9C"/>
    <w:rsid w:val="00E9513F"/>
    <w:rsid w:val="00EA1C2C"/>
    <w:rsid w:val="00EA1D75"/>
    <w:rsid w:val="00EA30CC"/>
    <w:rsid w:val="00EA350F"/>
    <w:rsid w:val="00EA39B4"/>
    <w:rsid w:val="00EA4070"/>
    <w:rsid w:val="00EB6C69"/>
    <w:rsid w:val="00EC225A"/>
    <w:rsid w:val="00EC4680"/>
    <w:rsid w:val="00ED1940"/>
    <w:rsid w:val="00ED4CDF"/>
    <w:rsid w:val="00ED59F7"/>
    <w:rsid w:val="00EF3E1F"/>
    <w:rsid w:val="00EF59B9"/>
    <w:rsid w:val="00F168AF"/>
    <w:rsid w:val="00F230AC"/>
    <w:rsid w:val="00F34A6A"/>
    <w:rsid w:val="00F4039A"/>
    <w:rsid w:val="00F42C70"/>
    <w:rsid w:val="00F43921"/>
    <w:rsid w:val="00F43A76"/>
    <w:rsid w:val="00F44180"/>
    <w:rsid w:val="00F4644A"/>
    <w:rsid w:val="00F50FE8"/>
    <w:rsid w:val="00F51690"/>
    <w:rsid w:val="00F53C17"/>
    <w:rsid w:val="00F55D33"/>
    <w:rsid w:val="00F61F0B"/>
    <w:rsid w:val="00F679CA"/>
    <w:rsid w:val="00F70689"/>
    <w:rsid w:val="00F70880"/>
    <w:rsid w:val="00F73443"/>
    <w:rsid w:val="00F77C9D"/>
    <w:rsid w:val="00F81498"/>
    <w:rsid w:val="00F909A5"/>
    <w:rsid w:val="00F90AD6"/>
    <w:rsid w:val="00F96156"/>
    <w:rsid w:val="00FB1160"/>
    <w:rsid w:val="00FB39B8"/>
    <w:rsid w:val="00FB65AE"/>
    <w:rsid w:val="00FC140D"/>
    <w:rsid w:val="00FC278C"/>
    <w:rsid w:val="00FD0861"/>
    <w:rsid w:val="00FD185E"/>
    <w:rsid w:val="00FF44BA"/>
    <w:rsid w:val="00FF5A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next w:val="Normln"/>
    <w:link w:val="Nadpis3Char"/>
    <w:uiPriority w:val="9"/>
    <w:unhideWhenUsed/>
    <w:qFormat/>
    <w:rsid w:val="004F7315"/>
    <w:pPr>
      <w:keepNext/>
      <w:keepLines/>
      <w:spacing w:before="120" w:after="240"/>
      <w:jc w:val="both"/>
      <w:outlineLvl w:val="2"/>
    </w:pPr>
    <w:rPr>
      <w:rFonts w:ascii="Arial" w:eastAsia="Times New Roman" w:hAnsi="Arial" w:cs="Times New Roman"/>
      <w:b/>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574953"/>
    <w:pPr>
      <w:spacing w:after="0" w:line="240" w:lineRule="auto"/>
    </w:pPr>
  </w:style>
  <w:style w:type="paragraph" w:styleId="Prosttext">
    <w:name w:val="Plain Text"/>
    <w:basedOn w:val="Normln"/>
    <w:link w:val="ProsttextChar"/>
    <w:uiPriority w:val="99"/>
    <w:unhideWhenUsed/>
    <w:rsid w:val="00FD185E"/>
    <w:pPr>
      <w:spacing w:after="0" w:line="240" w:lineRule="auto"/>
    </w:pPr>
    <w:rPr>
      <w:rFonts w:ascii="Calibri" w:eastAsia="Calibri" w:hAnsi="Calibri" w:cs="Times New Roman"/>
      <w:szCs w:val="21"/>
    </w:rPr>
  </w:style>
  <w:style w:type="character" w:customStyle="1" w:styleId="ProsttextChar">
    <w:name w:val="Prostý text Char"/>
    <w:basedOn w:val="Standardnpsmoodstavce"/>
    <w:link w:val="Prosttext"/>
    <w:uiPriority w:val="99"/>
    <w:rsid w:val="00FD185E"/>
    <w:rPr>
      <w:rFonts w:ascii="Calibri" w:eastAsia="Calibri" w:hAnsi="Calibri" w:cs="Times New Roman"/>
      <w:szCs w:val="21"/>
    </w:rPr>
  </w:style>
  <w:style w:type="character" w:styleId="Odkaznakoment">
    <w:name w:val="annotation reference"/>
    <w:basedOn w:val="Standardnpsmoodstavce"/>
    <w:uiPriority w:val="99"/>
    <w:semiHidden/>
    <w:unhideWhenUsed/>
    <w:rsid w:val="009A419B"/>
    <w:rPr>
      <w:sz w:val="16"/>
      <w:szCs w:val="16"/>
    </w:rPr>
  </w:style>
  <w:style w:type="paragraph" w:styleId="Textkomente">
    <w:name w:val="annotation text"/>
    <w:basedOn w:val="Normln"/>
    <w:link w:val="TextkomenteChar"/>
    <w:uiPriority w:val="99"/>
    <w:unhideWhenUsed/>
    <w:rsid w:val="009A419B"/>
    <w:pPr>
      <w:spacing w:line="240" w:lineRule="auto"/>
    </w:pPr>
    <w:rPr>
      <w:sz w:val="20"/>
      <w:szCs w:val="20"/>
    </w:rPr>
  </w:style>
  <w:style w:type="character" w:customStyle="1" w:styleId="TextkomenteChar">
    <w:name w:val="Text komentáře Char"/>
    <w:basedOn w:val="Standardnpsmoodstavce"/>
    <w:link w:val="Textkomente"/>
    <w:uiPriority w:val="99"/>
    <w:rsid w:val="009A419B"/>
    <w:rPr>
      <w:sz w:val="20"/>
      <w:szCs w:val="20"/>
    </w:rPr>
  </w:style>
  <w:style w:type="paragraph" w:styleId="Pedmtkomente">
    <w:name w:val="annotation subject"/>
    <w:basedOn w:val="Textkomente"/>
    <w:next w:val="Textkomente"/>
    <w:link w:val="PedmtkomenteChar"/>
    <w:uiPriority w:val="99"/>
    <w:semiHidden/>
    <w:unhideWhenUsed/>
    <w:rsid w:val="009A419B"/>
    <w:rPr>
      <w:b/>
      <w:bCs/>
    </w:rPr>
  </w:style>
  <w:style w:type="character" w:customStyle="1" w:styleId="PedmtkomenteChar">
    <w:name w:val="Předmět komentáře Char"/>
    <w:basedOn w:val="TextkomenteChar"/>
    <w:link w:val="Pedmtkomente"/>
    <w:uiPriority w:val="99"/>
    <w:semiHidden/>
    <w:rsid w:val="009A419B"/>
    <w:rPr>
      <w:b/>
      <w:bCs/>
      <w:sz w:val="20"/>
      <w:szCs w:val="20"/>
    </w:rPr>
  </w:style>
  <w:style w:type="character" w:styleId="Siln">
    <w:name w:val="Strong"/>
    <w:basedOn w:val="Standardnpsmoodstavce"/>
    <w:uiPriority w:val="22"/>
    <w:qFormat/>
    <w:rsid w:val="00EC4680"/>
    <w:rPr>
      <w:b/>
      <w:bCs/>
    </w:rPr>
  </w:style>
  <w:style w:type="character" w:customStyle="1" w:styleId="relative">
    <w:name w:val="relative"/>
    <w:basedOn w:val="Standardnpsmoodstavce"/>
    <w:rsid w:val="00EC4680"/>
  </w:style>
  <w:style w:type="character" w:customStyle="1" w:styleId="Nadpis3Char">
    <w:name w:val="Nadpis 3 Char"/>
    <w:basedOn w:val="Standardnpsmoodstavce"/>
    <w:link w:val="Nadpis3"/>
    <w:uiPriority w:val="9"/>
    <w:rsid w:val="004F7315"/>
    <w:rPr>
      <w:rFonts w:ascii="Arial" w:eastAsia="Times New Roman" w:hAnsi="Arial" w:cs="Times New Roman"/>
      <w:b/>
      <w:szCs w:val="24"/>
    </w:rPr>
  </w:style>
  <w:style w:type="paragraph" w:styleId="Normlnweb">
    <w:name w:val="Normal (Web)"/>
    <w:basedOn w:val="Normln"/>
    <w:uiPriority w:val="99"/>
    <w:unhideWhenUsed/>
    <w:rsid w:val="004F7315"/>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12042380">
      <w:bodyDiv w:val="1"/>
      <w:marLeft w:val="0"/>
      <w:marRight w:val="0"/>
      <w:marTop w:val="0"/>
      <w:marBottom w:val="0"/>
      <w:divBdr>
        <w:top w:val="none" w:sz="0" w:space="0" w:color="auto"/>
        <w:left w:val="none" w:sz="0" w:space="0" w:color="auto"/>
        <w:bottom w:val="none" w:sz="0" w:space="0" w:color="auto"/>
        <w:right w:val="none" w:sz="0" w:space="0" w:color="auto"/>
      </w:divBdr>
      <w:divsChild>
        <w:div w:id="1936135548">
          <w:marLeft w:val="0"/>
          <w:marRight w:val="0"/>
          <w:marTop w:val="0"/>
          <w:marBottom w:val="0"/>
          <w:divBdr>
            <w:top w:val="none" w:sz="0" w:space="0" w:color="auto"/>
            <w:left w:val="none" w:sz="0" w:space="0" w:color="auto"/>
            <w:bottom w:val="none" w:sz="0" w:space="0" w:color="auto"/>
            <w:right w:val="none" w:sz="0" w:space="0" w:color="auto"/>
          </w:divBdr>
        </w:div>
      </w:divsChild>
    </w:div>
    <w:div w:id="1419981003">
      <w:bodyDiv w:val="1"/>
      <w:marLeft w:val="0"/>
      <w:marRight w:val="0"/>
      <w:marTop w:val="0"/>
      <w:marBottom w:val="0"/>
      <w:divBdr>
        <w:top w:val="none" w:sz="0" w:space="0" w:color="auto"/>
        <w:left w:val="none" w:sz="0" w:space="0" w:color="auto"/>
        <w:bottom w:val="none" w:sz="0" w:space="0" w:color="auto"/>
        <w:right w:val="none" w:sz="0" w:space="0" w:color="auto"/>
      </w:divBdr>
      <w:divsChild>
        <w:div w:id="753211135">
          <w:marLeft w:val="0"/>
          <w:marRight w:val="0"/>
          <w:marTop w:val="0"/>
          <w:marBottom w:val="0"/>
          <w:divBdr>
            <w:top w:val="none" w:sz="0" w:space="0" w:color="auto"/>
            <w:left w:val="none" w:sz="0" w:space="0" w:color="auto"/>
            <w:bottom w:val="none" w:sz="0" w:space="0" w:color="auto"/>
            <w:right w:val="none" w:sz="0" w:space="0" w:color="auto"/>
          </w:divBdr>
        </w:div>
      </w:divsChild>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 w:id="1735080320">
      <w:bodyDiv w:val="1"/>
      <w:marLeft w:val="0"/>
      <w:marRight w:val="0"/>
      <w:marTop w:val="0"/>
      <w:marBottom w:val="0"/>
      <w:divBdr>
        <w:top w:val="none" w:sz="0" w:space="0" w:color="auto"/>
        <w:left w:val="none" w:sz="0" w:space="0" w:color="auto"/>
        <w:bottom w:val="none" w:sz="0" w:space="0" w:color="auto"/>
        <w:right w:val="none" w:sz="0" w:space="0" w:color="auto"/>
      </w:divBdr>
      <w:divsChild>
        <w:div w:id="91753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607</Words>
  <Characters>3424</Characters>
  <Application>Microsoft Office Word</Application>
  <DocSecurity>0</DocSecurity>
  <Lines>44</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17</cp:revision>
  <cp:lastPrinted>2025-04-03T06:56:00Z</cp:lastPrinted>
  <dcterms:created xsi:type="dcterms:W3CDTF">2026-09-09T06:39:00Z</dcterms:created>
  <dcterms:modified xsi:type="dcterms:W3CDTF">2026-09-24T21:25:00Z</dcterms:modified>
</cp:coreProperties>
</file>