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C458" w14:textId="4DF75CF2" w:rsidR="003E3B85" w:rsidRPr="00725E03" w:rsidRDefault="00A55225" w:rsidP="003E3B85">
      <w:pPr>
        <w:spacing w:before="240"/>
        <w:jc w:val="right"/>
        <w:rPr>
          <w:rFonts w:ascii="Arial" w:hAnsi="Arial" w:cs="Arial"/>
          <w:color w:val="2658A5"/>
          <w:sz w:val="48"/>
          <w:szCs w:val="48"/>
          <w:lang w:val="en-GB"/>
        </w:rPr>
      </w:pPr>
      <w:r w:rsidRPr="007302A0">
        <w:rPr>
          <w:rFonts w:ascii="Arial" w:eastAsia="Calibri" w:hAnsi="Arial" w:cs="Arial"/>
          <w:b/>
          <w:bCs/>
          <w:noProof/>
          <w:sz w:val="20"/>
          <w:szCs w:val="20"/>
          <w:lang w:val="en-GB"/>
        </w:rPr>
        <w:drawing>
          <wp:anchor distT="0" distB="0" distL="114300" distR="114300" simplePos="0" relativeHeight="251659264" behindDoc="0" locked="0" layoutInCell="1" allowOverlap="1" wp14:anchorId="25B598BE" wp14:editId="49E2A411">
            <wp:simplePos x="0" y="0"/>
            <wp:positionH relativeFrom="margin">
              <wp:posOffset>0</wp:posOffset>
            </wp:positionH>
            <wp:positionV relativeFrom="paragraph">
              <wp:posOffset>46990</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sidR="00B47405" w:rsidRPr="00725E03">
        <w:rPr>
          <w:rFonts w:ascii="Arial" w:hAnsi="Arial" w:cs="Arial"/>
          <w:color w:val="2658A5"/>
          <w:sz w:val="48"/>
          <w:szCs w:val="48"/>
          <w:lang w:val="en-GB"/>
        </w:rPr>
        <w:t xml:space="preserve"> </w:t>
      </w:r>
      <w:r w:rsidR="00725E03">
        <w:rPr>
          <w:rFonts w:ascii="Arial" w:hAnsi="Arial" w:cs="Arial"/>
          <w:color w:val="2658A5"/>
          <w:sz w:val="48"/>
          <w:szCs w:val="48"/>
          <w:lang w:val="en-GB"/>
        </w:rPr>
        <w:t>PRESS RELEASE</w:t>
      </w:r>
    </w:p>
    <w:p w14:paraId="0022BE11" w14:textId="4FE24414" w:rsidR="003E3B85" w:rsidRPr="00725E03" w:rsidRDefault="003E3B85" w:rsidP="003E3B85">
      <w:pPr>
        <w:jc w:val="both"/>
        <w:rPr>
          <w:rFonts w:ascii="Montserrat" w:hAnsi="Montserrat"/>
          <w:sz w:val="20"/>
          <w:szCs w:val="20"/>
          <w:lang w:val="en-GB"/>
        </w:rPr>
      </w:pPr>
    </w:p>
    <w:p w14:paraId="56C5D869" w14:textId="59582CDE" w:rsidR="00725E03" w:rsidRPr="00725E03" w:rsidRDefault="002325C2" w:rsidP="00725E03">
      <w:pPr>
        <w:spacing w:before="240"/>
        <w:rPr>
          <w:rFonts w:ascii="Arial" w:hAnsi="Arial" w:cs="Arial"/>
          <w:b/>
          <w:bCs/>
          <w:color w:val="2658A5"/>
          <w:sz w:val="32"/>
          <w:szCs w:val="32"/>
          <w:lang w:val="en-GB"/>
        </w:rPr>
      </w:pPr>
      <w:r w:rsidRPr="00725E03">
        <w:rPr>
          <w:rFonts w:ascii="Arial" w:hAnsi="Arial" w:cs="Arial"/>
          <w:b/>
          <w:bCs/>
          <w:color w:val="2658A5"/>
          <w:sz w:val="32"/>
          <w:szCs w:val="32"/>
          <w:lang w:val="en-GB"/>
        </w:rPr>
        <w:br/>
      </w:r>
      <w:r w:rsidR="00725E03" w:rsidRPr="00725E03">
        <w:rPr>
          <w:rFonts w:ascii="Arial" w:hAnsi="Arial" w:cs="Arial"/>
          <w:b/>
          <w:bCs/>
          <w:color w:val="2658A5"/>
          <w:sz w:val="32"/>
          <w:szCs w:val="32"/>
          <w:lang w:val="en-GB"/>
        </w:rPr>
        <w:t>CTIA inspected products to ensure compliance with the Act on End-of-Life Products. It found breaches in more than a third of the 2,927 inspections carried out</w:t>
      </w:r>
    </w:p>
    <w:p w14:paraId="7F0C2655" w14:textId="77777777" w:rsidR="00725E03" w:rsidRPr="00725E03" w:rsidRDefault="00725E03" w:rsidP="00725E03">
      <w:pPr>
        <w:pStyle w:val="Default"/>
        <w:spacing w:after="200"/>
        <w:jc w:val="both"/>
        <w:rPr>
          <w:sz w:val="20"/>
          <w:szCs w:val="20"/>
          <w:lang w:val="en-GB"/>
        </w:rPr>
      </w:pPr>
      <w:r w:rsidRPr="00725E03">
        <w:rPr>
          <w:sz w:val="20"/>
          <w:szCs w:val="20"/>
          <w:lang w:val="en-GB"/>
        </w:rPr>
        <w:t xml:space="preserve">(Prague, 15 September 2026) </w:t>
      </w:r>
      <w:r w:rsidRPr="00725E03">
        <w:rPr>
          <w:b/>
          <w:bCs/>
          <w:sz w:val="20"/>
          <w:szCs w:val="20"/>
          <w:lang w:val="en-GB"/>
        </w:rPr>
        <w:t xml:space="preserve">In 2025, the Czech Trade Inspection Authority focused on inspecting compliance with Act No. 542/2020 Coll., on end-of-life products. In total, it carried out 2,927 inspections last year and found infringements of one of the provisions of the Act on End-of-Life Products within 1,040 inspections (i.e. 35.53% of the total number of inspections carried out). </w:t>
      </w:r>
    </w:p>
    <w:p w14:paraId="10278431" w14:textId="77777777" w:rsidR="00725E03" w:rsidRPr="00725E03" w:rsidRDefault="00725E03" w:rsidP="00725E03">
      <w:pPr>
        <w:pStyle w:val="Default"/>
        <w:spacing w:after="200"/>
        <w:jc w:val="both"/>
        <w:rPr>
          <w:sz w:val="20"/>
          <w:szCs w:val="20"/>
          <w:lang w:val="en-GB"/>
        </w:rPr>
      </w:pPr>
      <w:r w:rsidRPr="00725E03">
        <w:rPr>
          <w:sz w:val="20"/>
          <w:szCs w:val="20"/>
          <w:lang w:val="en-GB"/>
        </w:rPr>
        <w:t xml:space="preserve">The inspected entities were self-employed individuals and legal entities acting as final sellers, distributors and manufacturers (within the meaning of Act No. 542/2020 Coll., hereinafter referred to as ‘the Act’), which, within their commercial activities, place on the market, or manufacture, distribute, offer and sell to consumers electrical equipment, batteries, rechargeable batteries and tyres. Throughout the year, inspections focus on the obligations imposed by the Act on final sellers as part of the inspections of the relevant (selected) products. Most frequently, these inspections concern </w:t>
      </w:r>
      <w:r w:rsidRPr="00725E03">
        <w:rPr>
          <w:b/>
          <w:bCs/>
          <w:sz w:val="20"/>
          <w:szCs w:val="20"/>
          <w:lang w:val="en-GB"/>
        </w:rPr>
        <w:t xml:space="preserve">the provisions of Section 73(1) </w:t>
      </w:r>
      <w:r w:rsidRPr="00725E03">
        <w:rPr>
          <w:sz w:val="20"/>
          <w:szCs w:val="20"/>
          <w:lang w:val="en-GB"/>
        </w:rPr>
        <w:t xml:space="preserve">of the Act, according to which </w:t>
      </w:r>
      <w:r w:rsidRPr="00725E03">
        <w:rPr>
          <w:b/>
          <w:bCs/>
          <w:sz w:val="20"/>
          <w:szCs w:val="20"/>
          <w:lang w:val="en-GB"/>
        </w:rPr>
        <w:t>the manufacturer, distributor and final retailer</w:t>
      </w:r>
      <w:r w:rsidRPr="00725E03">
        <w:rPr>
          <w:sz w:val="20"/>
          <w:szCs w:val="20"/>
          <w:lang w:val="en-GB"/>
        </w:rPr>
        <w:t xml:space="preserve"> are obliged, when selling </w:t>
      </w:r>
      <w:r w:rsidRPr="00725E03">
        <w:rPr>
          <w:b/>
          <w:bCs/>
          <w:sz w:val="20"/>
          <w:szCs w:val="20"/>
          <w:lang w:val="en-GB"/>
        </w:rPr>
        <w:t>new</w:t>
      </w:r>
      <w:r w:rsidRPr="00725E03">
        <w:rPr>
          <w:sz w:val="20"/>
          <w:szCs w:val="20"/>
          <w:lang w:val="en-GB"/>
        </w:rPr>
        <w:t xml:space="preserve"> </w:t>
      </w:r>
      <w:r w:rsidRPr="00725E03">
        <w:rPr>
          <w:b/>
          <w:bCs/>
          <w:sz w:val="20"/>
          <w:szCs w:val="20"/>
          <w:lang w:val="en-GB"/>
        </w:rPr>
        <w:t>electrical equipment</w:t>
      </w:r>
      <w:r w:rsidRPr="00725E03">
        <w:rPr>
          <w:sz w:val="20"/>
          <w:szCs w:val="20"/>
          <w:lang w:val="en-GB"/>
        </w:rPr>
        <w:t xml:space="preserve">, </w:t>
      </w:r>
      <w:r w:rsidRPr="00725E03">
        <w:rPr>
          <w:b/>
          <w:bCs/>
          <w:sz w:val="20"/>
          <w:szCs w:val="20"/>
          <w:lang w:val="en-GB"/>
        </w:rPr>
        <w:t>to state, separately from its price, the costs of take-back, treatment, recovery and disposal of waste electrical equipment, calculated per 1 piece/1 kg of new electrical equipment</w:t>
      </w:r>
      <w:r w:rsidRPr="00725E03">
        <w:rPr>
          <w:sz w:val="20"/>
          <w:szCs w:val="20"/>
          <w:lang w:val="en-GB"/>
        </w:rPr>
        <w:t xml:space="preserve">. Last year, </w:t>
      </w:r>
      <w:r w:rsidRPr="00725E03">
        <w:rPr>
          <w:b/>
          <w:bCs/>
          <w:sz w:val="20"/>
          <w:szCs w:val="20"/>
          <w:lang w:val="en-GB"/>
        </w:rPr>
        <w:t>infringements</w:t>
      </w:r>
      <w:r w:rsidRPr="00725E03">
        <w:rPr>
          <w:sz w:val="20"/>
          <w:szCs w:val="20"/>
          <w:lang w:val="en-GB"/>
        </w:rPr>
        <w:t xml:space="preserve"> of Section 73(1) of the Act on End-of-Life Products </w:t>
      </w:r>
      <w:r w:rsidRPr="00725E03">
        <w:rPr>
          <w:b/>
          <w:bCs/>
          <w:sz w:val="20"/>
          <w:szCs w:val="20"/>
          <w:lang w:val="en-GB"/>
        </w:rPr>
        <w:t>were identified in 984 inspections</w:t>
      </w:r>
      <w:r w:rsidRPr="00725E03">
        <w:rPr>
          <w:sz w:val="20"/>
          <w:szCs w:val="20"/>
          <w:lang w:val="en-GB"/>
        </w:rPr>
        <w:t xml:space="preserve">, the </w:t>
      </w:r>
      <w:r w:rsidRPr="00725E03">
        <w:rPr>
          <w:b/>
          <w:bCs/>
          <w:sz w:val="20"/>
          <w:szCs w:val="20"/>
          <w:lang w:val="en-GB"/>
        </w:rPr>
        <w:t>vast majority of which were carried out at the final stage</w:t>
      </w:r>
      <w:r w:rsidRPr="00725E03">
        <w:rPr>
          <w:sz w:val="20"/>
          <w:szCs w:val="20"/>
          <w:lang w:val="en-GB"/>
        </w:rPr>
        <w:t xml:space="preserve"> of the distribution chain. The obligations of final retailers are also inspected for other selected products, albeit in a proportionally smaller number of inspections given the narrower range of batteries, accumulators and tyres compared with the range of electrical and electronic equipment.</w:t>
      </w:r>
    </w:p>
    <w:p w14:paraId="42EF134B" w14:textId="77777777" w:rsidR="00725E03" w:rsidRPr="00725E03" w:rsidRDefault="00725E03" w:rsidP="00725E03">
      <w:pPr>
        <w:pStyle w:val="Default"/>
        <w:spacing w:after="200"/>
        <w:jc w:val="both"/>
        <w:rPr>
          <w:sz w:val="20"/>
          <w:szCs w:val="20"/>
          <w:lang w:val="en-GB"/>
        </w:rPr>
      </w:pPr>
      <w:r w:rsidRPr="00725E03">
        <w:rPr>
          <w:b/>
          <w:bCs/>
          <w:sz w:val="20"/>
          <w:szCs w:val="20"/>
          <w:lang w:val="en-GB"/>
        </w:rPr>
        <w:t>Between July and October, within a targeted inspection activity, the CTIA focused</w:t>
      </w:r>
      <w:r w:rsidRPr="00725E03">
        <w:rPr>
          <w:sz w:val="20"/>
          <w:szCs w:val="20"/>
          <w:lang w:val="en-GB"/>
        </w:rPr>
        <w:t xml:space="preserve">, in addition to end-point retailers, </w:t>
      </w:r>
      <w:r w:rsidRPr="00725E03">
        <w:rPr>
          <w:b/>
          <w:bCs/>
          <w:sz w:val="20"/>
          <w:szCs w:val="20"/>
          <w:lang w:val="en-GB"/>
        </w:rPr>
        <w:t xml:space="preserve">on inspecting higher levels </w:t>
      </w:r>
      <w:r w:rsidRPr="00725E03">
        <w:rPr>
          <w:sz w:val="20"/>
          <w:szCs w:val="20"/>
          <w:lang w:val="en-GB"/>
        </w:rPr>
        <w:t xml:space="preserve">of the distribution chain for selected products, particularly with regard to their placing on the market, labelling and the disclosure of costs relating to the take-back, treatment, recovery or, where applicable, disposal of waste electrical and electronic equipment and tyres. A total of </w:t>
      </w:r>
      <w:r w:rsidRPr="00725E03">
        <w:rPr>
          <w:b/>
          <w:bCs/>
          <w:sz w:val="20"/>
          <w:szCs w:val="20"/>
          <w:lang w:val="en-GB"/>
        </w:rPr>
        <w:t>788 inspections</w:t>
      </w:r>
      <w:r w:rsidRPr="00725E03">
        <w:rPr>
          <w:sz w:val="20"/>
          <w:szCs w:val="20"/>
          <w:lang w:val="en-GB"/>
        </w:rPr>
        <w:t xml:space="preserve"> were carried out, and </w:t>
      </w:r>
      <w:r w:rsidRPr="00725E03">
        <w:rPr>
          <w:b/>
          <w:bCs/>
          <w:sz w:val="20"/>
          <w:szCs w:val="20"/>
          <w:lang w:val="en-GB"/>
        </w:rPr>
        <w:t>all Regional Inspectorates of the CTIA took part in the campaign.</w:t>
      </w:r>
    </w:p>
    <w:p w14:paraId="68C3F23F" w14:textId="77777777" w:rsidR="00725E03" w:rsidRPr="00725E03" w:rsidRDefault="00725E03" w:rsidP="00725E03">
      <w:pPr>
        <w:pStyle w:val="Default"/>
        <w:spacing w:after="200"/>
        <w:jc w:val="both"/>
        <w:rPr>
          <w:sz w:val="20"/>
          <w:szCs w:val="20"/>
          <w:lang w:val="en-GB"/>
        </w:rPr>
      </w:pPr>
      <w:r w:rsidRPr="00725E03">
        <w:rPr>
          <w:sz w:val="20"/>
          <w:szCs w:val="20"/>
          <w:lang w:val="en-GB"/>
        </w:rPr>
        <w:t xml:space="preserve">Breaches of one or more of the legal regulations falling within the CTIA’s surveillance scope were identified in 377 inspections, whilst breaches of the Act on End-of-Life Products were identified in 223 inspections (i.e. 28.30% of the 788 inspections carried out). Particular attention was paid to the above-mentioned obligation of all links in the distribution chain under the provisions of </w:t>
      </w:r>
      <w:r w:rsidRPr="00725E03">
        <w:rPr>
          <w:b/>
          <w:bCs/>
          <w:sz w:val="20"/>
          <w:szCs w:val="20"/>
          <w:lang w:val="en-GB"/>
        </w:rPr>
        <w:t>Section 73(1)</w:t>
      </w:r>
      <w:r w:rsidRPr="00725E03">
        <w:rPr>
          <w:sz w:val="20"/>
          <w:szCs w:val="20"/>
          <w:lang w:val="en-GB"/>
        </w:rPr>
        <w:t xml:space="preserve"> of this Act, namely </w:t>
      </w:r>
      <w:r w:rsidRPr="00725E03">
        <w:rPr>
          <w:b/>
          <w:bCs/>
          <w:sz w:val="20"/>
          <w:szCs w:val="20"/>
          <w:lang w:val="en-GB"/>
        </w:rPr>
        <w:t>inspecting compliance with this obligation by distributors and manufacturers, including inspecting the accuracy of the amounts stated by the manufacturer.</w:t>
      </w:r>
    </w:p>
    <w:p w14:paraId="40313819" w14:textId="77777777" w:rsidR="00725E03" w:rsidRPr="00725E03" w:rsidRDefault="00725E03" w:rsidP="00725E03">
      <w:pPr>
        <w:pStyle w:val="Default"/>
        <w:spacing w:after="200"/>
        <w:jc w:val="both"/>
        <w:rPr>
          <w:sz w:val="20"/>
          <w:szCs w:val="20"/>
          <w:lang w:val="en-GB"/>
        </w:rPr>
      </w:pPr>
      <w:r w:rsidRPr="00725E03">
        <w:rPr>
          <w:sz w:val="20"/>
          <w:szCs w:val="20"/>
          <w:lang w:val="en-GB"/>
        </w:rPr>
        <w:t xml:space="preserve">Based on the inspections carried out at manufacturers, no breaches were identified in this regard (apart from cases which, as at the date of publication of this press release, remain under further investigation). Within inspections carried out at retailers, breaches of the </w:t>
      </w:r>
      <w:proofErr w:type="gramStart"/>
      <w:r w:rsidRPr="00725E03">
        <w:rPr>
          <w:sz w:val="20"/>
          <w:szCs w:val="20"/>
          <w:lang w:val="en-GB"/>
        </w:rPr>
        <w:t>aforementioned provision</w:t>
      </w:r>
      <w:proofErr w:type="gramEnd"/>
      <w:r w:rsidRPr="00725E03">
        <w:rPr>
          <w:sz w:val="20"/>
          <w:szCs w:val="20"/>
          <w:lang w:val="en-GB"/>
        </w:rPr>
        <w:t xml:space="preserve"> were identified in 262 cases; in the case of inspections at distributors, 9 findings were classified as breaches in this regard. No breaches by distributors or manufacturers were found in relation to other selected products, namely batteries and accumulators and tyres. Breaches at final retailers were found in a handful of cases. </w:t>
      </w:r>
      <w:r w:rsidRPr="00725E03">
        <w:rPr>
          <w:b/>
          <w:bCs/>
          <w:sz w:val="20"/>
          <w:szCs w:val="20"/>
          <w:lang w:val="en-GB"/>
        </w:rPr>
        <w:t xml:space="preserve">The inspection activity revealed that the entities inspected did not increase the costs or distort the amount of the costs associated with the take-back of electrical and electronic equipment or tyres within the supply chain. </w:t>
      </w:r>
      <w:r w:rsidRPr="00725E03">
        <w:rPr>
          <w:sz w:val="20"/>
          <w:szCs w:val="20"/>
          <w:lang w:val="en-GB"/>
        </w:rPr>
        <w:t xml:space="preserve">By contrast, the absence of mandatory information at final retailers, who fail to include the information on the proof of purchase, is a persistent issue. This applies </w:t>
      </w:r>
      <w:proofErr w:type="gramStart"/>
      <w:r w:rsidRPr="00725E03">
        <w:rPr>
          <w:sz w:val="20"/>
          <w:szCs w:val="20"/>
          <w:lang w:val="en-GB"/>
        </w:rPr>
        <w:t>in particular to</w:t>
      </w:r>
      <w:proofErr w:type="gramEnd"/>
      <w:r w:rsidRPr="00725E03">
        <w:rPr>
          <w:sz w:val="20"/>
          <w:szCs w:val="20"/>
          <w:lang w:val="en-GB"/>
        </w:rPr>
        <w:t xml:space="preserve"> small shops and outlets, such as grocery stores, etc., which do not include the information on the proof of purchase. Consequently, the information is not conveyed to the consumer, thereby rendering the purpose of stating this charge meaningless. On the other hand, the results of inspections carried out on </w:t>
      </w:r>
      <w:r w:rsidRPr="00725E03">
        <w:rPr>
          <w:sz w:val="20"/>
          <w:szCs w:val="20"/>
          <w:lang w:val="en-GB"/>
        </w:rPr>
        <w:lastRenderedPageBreak/>
        <w:t>entities higher up the distribution chain did not reveal any evidence of inadequate participation, particularly on the part of manufacturers, in the recycling system or in the fulfilment of related obligations.</w:t>
      </w:r>
    </w:p>
    <w:p w14:paraId="430F5915" w14:textId="0D3C20E0" w:rsidR="009A6880" w:rsidRPr="00725E03" w:rsidRDefault="009A6880" w:rsidP="00725E03">
      <w:pPr>
        <w:pStyle w:val="Default"/>
        <w:spacing w:after="200"/>
        <w:jc w:val="both"/>
        <w:rPr>
          <w:b/>
          <w:bCs/>
          <w:sz w:val="20"/>
          <w:szCs w:val="20"/>
          <w:lang w:val="en-GB"/>
        </w:rPr>
      </w:pPr>
    </w:p>
    <w:sectPr w:rsidR="009A6880" w:rsidRPr="00725E03"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7A1B9" w14:textId="77777777" w:rsidR="00C45C10" w:rsidRDefault="00C45C10" w:rsidP="00807D68">
      <w:pPr>
        <w:spacing w:after="0" w:line="240" w:lineRule="auto"/>
      </w:pPr>
      <w:r>
        <w:separator/>
      </w:r>
    </w:p>
  </w:endnote>
  <w:endnote w:type="continuationSeparator" w:id="0">
    <w:p w14:paraId="4B948F40" w14:textId="77777777" w:rsidR="00C45C10" w:rsidRDefault="00C45C10"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E4FE" w14:textId="77777777" w:rsidR="005215D8" w:rsidRPr="000B3C18" w:rsidRDefault="005215D8" w:rsidP="005215D8">
    <w:pPr>
      <w:tabs>
        <w:tab w:val="left" w:pos="8295"/>
      </w:tabs>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3AF4E9BE" wp14:editId="60B7E92D">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1C6795DD" w14:textId="77777777" w:rsidR="005215D8" w:rsidRPr="007F2BC4" w:rsidRDefault="005215D8" w:rsidP="005215D8">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3AF4E9BE"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1C6795DD" w14:textId="77777777" w:rsidR="005215D8" w:rsidRPr="007F2BC4" w:rsidRDefault="005215D8" w:rsidP="005215D8">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0A79444F" wp14:editId="693E3FD2">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4CECFBC0" w14:textId="77777777" w:rsidR="005215D8" w:rsidRPr="00DC6D14" w:rsidRDefault="005215D8" w:rsidP="005215D8">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0A79444F"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4CECFBC0" w14:textId="77777777" w:rsidR="005215D8" w:rsidRPr="00DC6D14" w:rsidRDefault="005215D8" w:rsidP="005215D8">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r>
      <w:rPr>
        <w:rFonts w:ascii="Arial" w:hAnsi="Arial" w:cs="Arial"/>
        <w:bCs/>
        <w:color w:val="2658A5"/>
        <w:sz w:val="18"/>
        <w:szCs w:val="18"/>
      </w:rPr>
      <w:tab/>
    </w:r>
  </w:p>
  <w:p w14:paraId="2E86EAD4" w14:textId="32F2CE68" w:rsidR="00F34A6A" w:rsidRPr="005215D8" w:rsidRDefault="005215D8" w:rsidP="005215D8">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07BA" w14:textId="77777777" w:rsidR="00C45C10" w:rsidRDefault="00C45C10" w:rsidP="00807D68">
      <w:pPr>
        <w:spacing w:after="0" w:line="240" w:lineRule="auto"/>
      </w:pPr>
      <w:r>
        <w:separator/>
      </w:r>
    </w:p>
  </w:footnote>
  <w:footnote w:type="continuationSeparator" w:id="0">
    <w:p w14:paraId="5FAB1113" w14:textId="77777777" w:rsidR="00C45C10" w:rsidRDefault="00C45C10"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794B"/>
    <w:multiLevelType w:val="hybridMultilevel"/>
    <w:tmpl w:val="12549B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3" w15:restartNumberingAfterBreak="0">
    <w:nsid w:val="1B5D75E5"/>
    <w:multiLevelType w:val="hybridMultilevel"/>
    <w:tmpl w:val="494432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21701DB"/>
    <w:multiLevelType w:val="hybridMultilevel"/>
    <w:tmpl w:val="BE9C13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7"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8"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9"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0" w15:restartNumberingAfterBreak="0">
    <w:nsid w:val="5564328D"/>
    <w:multiLevelType w:val="hybridMultilevel"/>
    <w:tmpl w:val="3A30915A"/>
    <w:lvl w:ilvl="0" w:tplc="E0965B20">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FE3585D"/>
    <w:multiLevelType w:val="hybridMultilevel"/>
    <w:tmpl w:val="4AF85B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4"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59C2DB4"/>
    <w:multiLevelType w:val="hybridMultilevel"/>
    <w:tmpl w:val="B854E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44473504">
    <w:abstractNumId w:val="1"/>
  </w:num>
  <w:num w:numId="2" w16cid:durableId="513879739">
    <w:abstractNumId w:val="12"/>
  </w:num>
  <w:num w:numId="3" w16cid:durableId="2052920723">
    <w:abstractNumId w:val="6"/>
  </w:num>
  <w:num w:numId="4" w16cid:durableId="1442922314">
    <w:abstractNumId w:val="13"/>
  </w:num>
  <w:num w:numId="5" w16cid:durableId="1812483706">
    <w:abstractNumId w:val="14"/>
  </w:num>
  <w:num w:numId="6" w16cid:durableId="2041544689">
    <w:abstractNumId w:val="8"/>
  </w:num>
  <w:num w:numId="7" w16cid:durableId="97410661">
    <w:abstractNumId w:val="7"/>
  </w:num>
  <w:num w:numId="8" w16cid:durableId="969164436">
    <w:abstractNumId w:val="2"/>
  </w:num>
  <w:num w:numId="9" w16cid:durableId="323824122">
    <w:abstractNumId w:val="9"/>
  </w:num>
  <w:num w:numId="10" w16cid:durableId="416053402">
    <w:abstractNumId w:val="4"/>
  </w:num>
  <w:num w:numId="11" w16cid:durableId="1280600414">
    <w:abstractNumId w:val="15"/>
  </w:num>
  <w:num w:numId="12" w16cid:durableId="681981078">
    <w:abstractNumId w:val="0"/>
  </w:num>
  <w:num w:numId="13" w16cid:durableId="587806848">
    <w:abstractNumId w:val="5"/>
  </w:num>
  <w:num w:numId="14" w16cid:durableId="2029330390">
    <w:abstractNumId w:val="11"/>
  </w:num>
  <w:num w:numId="15" w16cid:durableId="1059745948">
    <w:abstractNumId w:val="10"/>
  </w:num>
  <w:num w:numId="16" w16cid:durableId="616063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5C7C"/>
    <w:rsid w:val="00006197"/>
    <w:rsid w:val="000063E9"/>
    <w:rsid w:val="00007B29"/>
    <w:rsid w:val="00015BC5"/>
    <w:rsid w:val="00016D10"/>
    <w:rsid w:val="0002262E"/>
    <w:rsid w:val="0002451F"/>
    <w:rsid w:val="00024FF2"/>
    <w:rsid w:val="00025B01"/>
    <w:rsid w:val="000266C9"/>
    <w:rsid w:val="000334AA"/>
    <w:rsid w:val="00041789"/>
    <w:rsid w:val="00051DD8"/>
    <w:rsid w:val="00056E6A"/>
    <w:rsid w:val="000741E3"/>
    <w:rsid w:val="00085116"/>
    <w:rsid w:val="0009199E"/>
    <w:rsid w:val="00094405"/>
    <w:rsid w:val="000B3C18"/>
    <w:rsid w:val="000C3EFE"/>
    <w:rsid w:val="000E2C64"/>
    <w:rsid w:val="000F4429"/>
    <w:rsid w:val="000F6B04"/>
    <w:rsid w:val="00107DFD"/>
    <w:rsid w:val="001167F3"/>
    <w:rsid w:val="00132381"/>
    <w:rsid w:val="001401CF"/>
    <w:rsid w:val="00142850"/>
    <w:rsid w:val="001472E1"/>
    <w:rsid w:val="00151CF6"/>
    <w:rsid w:val="00152827"/>
    <w:rsid w:val="00156FEF"/>
    <w:rsid w:val="00167F18"/>
    <w:rsid w:val="001803BB"/>
    <w:rsid w:val="00187803"/>
    <w:rsid w:val="00194CAB"/>
    <w:rsid w:val="001C38DE"/>
    <w:rsid w:val="001D0E07"/>
    <w:rsid w:val="001D158E"/>
    <w:rsid w:val="001D5235"/>
    <w:rsid w:val="001E03F2"/>
    <w:rsid w:val="001F0034"/>
    <w:rsid w:val="001F2757"/>
    <w:rsid w:val="0020122A"/>
    <w:rsid w:val="002012CC"/>
    <w:rsid w:val="00222FE5"/>
    <w:rsid w:val="00225F02"/>
    <w:rsid w:val="002325C2"/>
    <w:rsid w:val="002726E7"/>
    <w:rsid w:val="0027510E"/>
    <w:rsid w:val="00275DB2"/>
    <w:rsid w:val="00291DB1"/>
    <w:rsid w:val="00293137"/>
    <w:rsid w:val="002944BF"/>
    <w:rsid w:val="00296BF2"/>
    <w:rsid w:val="002A2F50"/>
    <w:rsid w:val="002A5BBD"/>
    <w:rsid w:val="002B7C92"/>
    <w:rsid w:val="002C2749"/>
    <w:rsid w:val="002C3B1A"/>
    <w:rsid w:val="002C70EB"/>
    <w:rsid w:val="002F005E"/>
    <w:rsid w:val="002F3DB2"/>
    <w:rsid w:val="002F66F3"/>
    <w:rsid w:val="003014C8"/>
    <w:rsid w:val="003251D5"/>
    <w:rsid w:val="00330670"/>
    <w:rsid w:val="00333D84"/>
    <w:rsid w:val="0033467F"/>
    <w:rsid w:val="00350179"/>
    <w:rsid w:val="0037728A"/>
    <w:rsid w:val="003864C9"/>
    <w:rsid w:val="003B6383"/>
    <w:rsid w:val="003D4892"/>
    <w:rsid w:val="003E3B85"/>
    <w:rsid w:val="003F1C2E"/>
    <w:rsid w:val="003F2528"/>
    <w:rsid w:val="00407934"/>
    <w:rsid w:val="0041582F"/>
    <w:rsid w:val="00432A70"/>
    <w:rsid w:val="0043419B"/>
    <w:rsid w:val="00440337"/>
    <w:rsid w:val="004445B6"/>
    <w:rsid w:val="00450385"/>
    <w:rsid w:val="00453D2C"/>
    <w:rsid w:val="0046373B"/>
    <w:rsid w:val="00463E2F"/>
    <w:rsid w:val="00492831"/>
    <w:rsid w:val="00492C29"/>
    <w:rsid w:val="004934BD"/>
    <w:rsid w:val="00493D8C"/>
    <w:rsid w:val="00494ACB"/>
    <w:rsid w:val="0049637D"/>
    <w:rsid w:val="004A2FE0"/>
    <w:rsid w:val="004B6C92"/>
    <w:rsid w:val="004F0671"/>
    <w:rsid w:val="004F3AA9"/>
    <w:rsid w:val="005215D8"/>
    <w:rsid w:val="005410A1"/>
    <w:rsid w:val="00541218"/>
    <w:rsid w:val="00543504"/>
    <w:rsid w:val="00545F6F"/>
    <w:rsid w:val="00550B65"/>
    <w:rsid w:val="00553666"/>
    <w:rsid w:val="005545CE"/>
    <w:rsid w:val="00565851"/>
    <w:rsid w:val="0056720C"/>
    <w:rsid w:val="005702A5"/>
    <w:rsid w:val="00572CFD"/>
    <w:rsid w:val="00577B57"/>
    <w:rsid w:val="005837B9"/>
    <w:rsid w:val="005864FF"/>
    <w:rsid w:val="005923C5"/>
    <w:rsid w:val="00592460"/>
    <w:rsid w:val="00592C1D"/>
    <w:rsid w:val="005A0FA4"/>
    <w:rsid w:val="005A1181"/>
    <w:rsid w:val="005A3A49"/>
    <w:rsid w:val="005B2A55"/>
    <w:rsid w:val="005B423B"/>
    <w:rsid w:val="005B713A"/>
    <w:rsid w:val="005B7CCE"/>
    <w:rsid w:val="005C435F"/>
    <w:rsid w:val="005D105B"/>
    <w:rsid w:val="005D528E"/>
    <w:rsid w:val="005E3D23"/>
    <w:rsid w:val="005E7886"/>
    <w:rsid w:val="005F5ACE"/>
    <w:rsid w:val="005F776A"/>
    <w:rsid w:val="00607011"/>
    <w:rsid w:val="0060731F"/>
    <w:rsid w:val="0061127C"/>
    <w:rsid w:val="006138C0"/>
    <w:rsid w:val="00643C96"/>
    <w:rsid w:val="00653A86"/>
    <w:rsid w:val="00656822"/>
    <w:rsid w:val="00663C7B"/>
    <w:rsid w:val="00673291"/>
    <w:rsid w:val="00681DA5"/>
    <w:rsid w:val="00685B60"/>
    <w:rsid w:val="006877C2"/>
    <w:rsid w:val="0069213B"/>
    <w:rsid w:val="006B6A4B"/>
    <w:rsid w:val="006D2A4F"/>
    <w:rsid w:val="006D428D"/>
    <w:rsid w:val="006D4E46"/>
    <w:rsid w:val="006D7B69"/>
    <w:rsid w:val="006E103F"/>
    <w:rsid w:val="006E3BFD"/>
    <w:rsid w:val="006F0A58"/>
    <w:rsid w:val="006F4540"/>
    <w:rsid w:val="006F6413"/>
    <w:rsid w:val="0070124B"/>
    <w:rsid w:val="00713EA7"/>
    <w:rsid w:val="00722ADF"/>
    <w:rsid w:val="00723613"/>
    <w:rsid w:val="00725E03"/>
    <w:rsid w:val="00727CBE"/>
    <w:rsid w:val="0073078E"/>
    <w:rsid w:val="00732996"/>
    <w:rsid w:val="00735ACA"/>
    <w:rsid w:val="00735C36"/>
    <w:rsid w:val="00735F52"/>
    <w:rsid w:val="00750EB0"/>
    <w:rsid w:val="00752488"/>
    <w:rsid w:val="007535B2"/>
    <w:rsid w:val="00760A0A"/>
    <w:rsid w:val="007705F7"/>
    <w:rsid w:val="00771930"/>
    <w:rsid w:val="00772B97"/>
    <w:rsid w:val="0079280F"/>
    <w:rsid w:val="0079376A"/>
    <w:rsid w:val="007A067C"/>
    <w:rsid w:val="007A133A"/>
    <w:rsid w:val="007A1DA7"/>
    <w:rsid w:val="007B4263"/>
    <w:rsid w:val="007B5709"/>
    <w:rsid w:val="007C281E"/>
    <w:rsid w:val="007C3195"/>
    <w:rsid w:val="007C40CF"/>
    <w:rsid w:val="007C6419"/>
    <w:rsid w:val="007D2F09"/>
    <w:rsid w:val="007D4158"/>
    <w:rsid w:val="007D497F"/>
    <w:rsid w:val="007E237F"/>
    <w:rsid w:val="008078D2"/>
    <w:rsid w:val="00807D68"/>
    <w:rsid w:val="00821C27"/>
    <w:rsid w:val="00823EC4"/>
    <w:rsid w:val="00826251"/>
    <w:rsid w:val="00834AD5"/>
    <w:rsid w:val="00844F3D"/>
    <w:rsid w:val="0084770C"/>
    <w:rsid w:val="00851C22"/>
    <w:rsid w:val="008632A4"/>
    <w:rsid w:val="00867D43"/>
    <w:rsid w:val="008759EC"/>
    <w:rsid w:val="008764CE"/>
    <w:rsid w:val="00885497"/>
    <w:rsid w:val="00890135"/>
    <w:rsid w:val="0089254F"/>
    <w:rsid w:val="0089409E"/>
    <w:rsid w:val="0089584F"/>
    <w:rsid w:val="008A156F"/>
    <w:rsid w:val="008A1E7D"/>
    <w:rsid w:val="008B63B3"/>
    <w:rsid w:val="008E0FC4"/>
    <w:rsid w:val="008F22C0"/>
    <w:rsid w:val="008F3794"/>
    <w:rsid w:val="0090767D"/>
    <w:rsid w:val="00917CF5"/>
    <w:rsid w:val="0092339C"/>
    <w:rsid w:val="00923837"/>
    <w:rsid w:val="009242AA"/>
    <w:rsid w:val="009244D5"/>
    <w:rsid w:val="009266E9"/>
    <w:rsid w:val="009343C4"/>
    <w:rsid w:val="0094296D"/>
    <w:rsid w:val="00944377"/>
    <w:rsid w:val="00947BEF"/>
    <w:rsid w:val="00955DA0"/>
    <w:rsid w:val="0095635E"/>
    <w:rsid w:val="00961809"/>
    <w:rsid w:val="009665AF"/>
    <w:rsid w:val="00967EDD"/>
    <w:rsid w:val="00970F06"/>
    <w:rsid w:val="00971704"/>
    <w:rsid w:val="00973692"/>
    <w:rsid w:val="00996C22"/>
    <w:rsid w:val="009A6880"/>
    <w:rsid w:val="009B1406"/>
    <w:rsid w:val="009E32D6"/>
    <w:rsid w:val="009F2D9C"/>
    <w:rsid w:val="00A03AD0"/>
    <w:rsid w:val="00A04DA8"/>
    <w:rsid w:val="00A25EA9"/>
    <w:rsid w:val="00A33A6A"/>
    <w:rsid w:val="00A36F92"/>
    <w:rsid w:val="00A42D0C"/>
    <w:rsid w:val="00A55225"/>
    <w:rsid w:val="00A57931"/>
    <w:rsid w:val="00A66848"/>
    <w:rsid w:val="00A7148C"/>
    <w:rsid w:val="00A715D0"/>
    <w:rsid w:val="00A722B2"/>
    <w:rsid w:val="00A81783"/>
    <w:rsid w:val="00A95A44"/>
    <w:rsid w:val="00AC2D69"/>
    <w:rsid w:val="00AD2EE9"/>
    <w:rsid w:val="00AD7F1B"/>
    <w:rsid w:val="00AF2F67"/>
    <w:rsid w:val="00B01995"/>
    <w:rsid w:val="00B205BA"/>
    <w:rsid w:val="00B20F24"/>
    <w:rsid w:val="00B329B1"/>
    <w:rsid w:val="00B33E3A"/>
    <w:rsid w:val="00B3668A"/>
    <w:rsid w:val="00B40171"/>
    <w:rsid w:val="00B44F4B"/>
    <w:rsid w:val="00B47405"/>
    <w:rsid w:val="00B6514F"/>
    <w:rsid w:val="00B7056B"/>
    <w:rsid w:val="00B81383"/>
    <w:rsid w:val="00B97A9C"/>
    <w:rsid w:val="00BB3765"/>
    <w:rsid w:val="00BE29F2"/>
    <w:rsid w:val="00BE3A71"/>
    <w:rsid w:val="00BF01FF"/>
    <w:rsid w:val="00BF5CA1"/>
    <w:rsid w:val="00C0197C"/>
    <w:rsid w:val="00C03BE0"/>
    <w:rsid w:val="00C136B5"/>
    <w:rsid w:val="00C136C8"/>
    <w:rsid w:val="00C241B4"/>
    <w:rsid w:val="00C41758"/>
    <w:rsid w:val="00C43D14"/>
    <w:rsid w:val="00C45C10"/>
    <w:rsid w:val="00C4704F"/>
    <w:rsid w:val="00C55649"/>
    <w:rsid w:val="00C64499"/>
    <w:rsid w:val="00C813A9"/>
    <w:rsid w:val="00C826FB"/>
    <w:rsid w:val="00C937E8"/>
    <w:rsid w:val="00C97D46"/>
    <w:rsid w:val="00CA2F9E"/>
    <w:rsid w:val="00CA7D66"/>
    <w:rsid w:val="00CB1BEA"/>
    <w:rsid w:val="00CB6F4F"/>
    <w:rsid w:val="00CC179A"/>
    <w:rsid w:val="00CD11D7"/>
    <w:rsid w:val="00CE34D5"/>
    <w:rsid w:val="00CE40CA"/>
    <w:rsid w:val="00CF39B0"/>
    <w:rsid w:val="00CF6F01"/>
    <w:rsid w:val="00D00046"/>
    <w:rsid w:val="00D05E07"/>
    <w:rsid w:val="00D100A7"/>
    <w:rsid w:val="00D13393"/>
    <w:rsid w:val="00D2107A"/>
    <w:rsid w:val="00D230ED"/>
    <w:rsid w:val="00D25DAB"/>
    <w:rsid w:val="00D268E6"/>
    <w:rsid w:val="00D31534"/>
    <w:rsid w:val="00D329CC"/>
    <w:rsid w:val="00D329DD"/>
    <w:rsid w:val="00D33E08"/>
    <w:rsid w:val="00D37970"/>
    <w:rsid w:val="00D56037"/>
    <w:rsid w:val="00D577F5"/>
    <w:rsid w:val="00D66CD2"/>
    <w:rsid w:val="00D67473"/>
    <w:rsid w:val="00D763A0"/>
    <w:rsid w:val="00D86729"/>
    <w:rsid w:val="00D93F3C"/>
    <w:rsid w:val="00D9539A"/>
    <w:rsid w:val="00D966A5"/>
    <w:rsid w:val="00D96763"/>
    <w:rsid w:val="00DA77FD"/>
    <w:rsid w:val="00DB159A"/>
    <w:rsid w:val="00DC5B7E"/>
    <w:rsid w:val="00DC78D1"/>
    <w:rsid w:val="00DD5B22"/>
    <w:rsid w:val="00E01D17"/>
    <w:rsid w:val="00E061A5"/>
    <w:rsid w:val="00E17BF0"/>
    <w:rsid w:val="00E22478"/>
    <w:rsid w:val="00E230E1"/>
    <w:rsid w:val="00E2519C"/>
    <w:rsid w:val="00E26DC2"/>
    <w:rsid w:val="00E27FB5"/>
    <w:rsid w:val="00E42A53"/>
    <w:rsid w:val="00E53779"/>
    <w:rsid w:val="00E53D4A"/>
    <w:rsid w:val="00E561BC"/>
    <w:rsid w:val="00E74A27"/>
    <w:rsid w:val="00E83DA0"/>
    <w:rsid w:val="00E845F3"/>
    <w:rsid w:val="00E90D9C"/>
    <w:rsid w:val="00EA1D75"/>
    <w:rsid w:val="00EA39B4"/>
    <w:rsid w:val="00EA7713"/>
    <w:rsid w:val="00EB589B"/>
    <w:rsid w:val="00ED4CDF"/>
    <w:rsid w:val="00EF09B2"/>
    <w:rsid w:val="00EF3E1F"/>
    <w:rsid w:val="00EF62B4"/>
    <w:rsid w:val="00F168AF"/>
    <w:rsid w:val="00F3196E"/>
    <w:rsid w:val="00F34A6A"/>
    <w:rsid w:val="00F4039A"/>
    <w:rsid w:val="00F53C17"/>
    <w:rsid w:val="00F55302"/>
    <w:rsid w:val="00F55D33"/>
    <w:rsid w:val="00F70880"/>
    <w:rsid w:val="00F74B33"/>
    <w:rsid w:val="00F8632E"/>
    <w:rsid w:val="00F90358"/>
    <w:rsid w:val="00FA1AF2"/>
    <w:rsid w:val="00FA28E0"/>
    <w:rsid w:val="00FB39B8"/>
    <w:rsid w:val="00FB6B14"/>
    <w:rsid w:val="00FC2808"/>
    <w:rsid w:val="00FC4A39"/>
    <w:rsid w:val="00FD0E34"/>
    <w:rsid w:val="00FD4E87"/>
    <w:rsid w:val="00FD5748"/>
    <w:rsid w:val="00FE4F95"/>
    <w:rsid w:val="00FF48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uiPriority w:val="9"/>
    <w:unhideWhenUsed/>
    <w:qFormat/>
    <w:rsid w:val="00024FF2"/>
    <w:pPr>
      <w:keepNext/>
      <w:keepLines/>
      <w:spacing w:before="120" w:after="240"/>
      <w:jc w:val="both"/>
      <w:outlineLvl w:val="2"/>
    </w:pPr>
    <w:rPr>
      <w:rFonts w:ascii="Arial" w:eastAsiaTheme="majorEastAsia" w:hAnsi="Arial" w:cstheme="majorBidi"/>
      <w:b/>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5D528E"/>
    <w:pPr>
      <w:spacing w:after="0" w:line="240" w:lineRule="auto"/>
    </w:pPr>
  </w:style>
  <w:style w:type="character" w:customStyle="1" w:styleId="Nadpis3Char">
    <w:name w:val="Nadpis 3 Char"/>
    <w:basedOn w:val="Standardnpsmoodstavce"/>
    <w:link w:val="Nadpis3"/>
    <w:uiPriority w:val="9"/>
    <w:rsid w:val="00024FF2"/>
    <w:rPr>
      <w:rFonts w:ascii="Arial" w:eastAsiaTheme="majorEastAsia" w:hAnsi="Arial" w:cstheme="majorBidi"/>
      <w:b/>
      <w:szCs w:val="24"/>
    </w:rPr>
  </w:style>
  <w:style w:type="character" w:customStyle="1" w:styleId="CharStyle6">
    <w:name w:val="Char Style 6"/>
    <w:link w:val="Style4"/>
    <w:uiPriority w:val="99"/>
    <w:locked/>
    <w:rsid w:val="00024FF2"/>
    <w:rPr>
      <w:rFonts w:ascii="Arial" w:hAnsi="Arial" w:cs="Arial"/>
      <w:sz w:val="17"/>
      <w:szCs w:val="17"/>
      <w:shd w:val="clear" w:color="auto" w:fill="FFFFFF"/>
    </w:rPr>
  </w:style>
  <w:style w:type="paragraph" w:customStyle="1" w:styleId="Style4">
    <w:name w:val="Style 4"/>
    <w:basedOn w:val="Normln"/>
    <w:link w:val="CharStyle6"/>
    <w:uiPriority w:val="99"/>
    <w:rsid w:val="00024FF2"/>
    <w:pPr>
      <w:widowControl w:val="0"/>
      <w:shd w:val="clear" w:color="auto" w:fill="FFFFFF"/>
      <w:spacing w:after="0" w:line="209" w:lineRule="exact"/>
      <w:ind w:hanging="340"/>
      <w:jc w:val="both"/>
    </w:pPr>
    <w:rPr>
      <w:rFonts w:ascii="Arial" w:hAnsi="Arial" w:cs="Arial"/>
      <w:sz w:val="17"/>
      <w:szCs w:val="17"/>
    </w:rPr>
  </w:style>
  <w:style w:type="character" w:styleId="Odkaznakoment">
    <w:name w:val="annotation reference"/>
    <w:basedOn w:val="Standardnpsmoodstavce"/>
    <w:uiPriority w:val="99"/>
    <w:semiHidden/>
    <w:unhideWhenUsed/>
    <w:rsid w:val="00750EB0"/>
    <w:rPr>
      <w:sz w:val="16"/>
      <w:szCs w:val="16"/>
    </w:rPr>
  </w:style>
  <w:style w:type="paragraph" w:styleId="Textkomente">
    <w:name w:val="annotation text"/>
    <w:basedOn w:val="Normln"/>
    <w:link w:val="TextkomenteChar"/>
    <w:uiPriority w:val="99"/>
    <w:unhideWhenUsed/>
    <w:rsid w:val="00750EB0"/>
    <w:pPr>
      <w:spacing w:line="240" w:lineRule="auto"/>
    </w:pPr>
    <w:rPr>
      <w:sz w:val="20"/>
      <w:szCs w:val="20"/>
    </w:rPr>
  </w:style>
  <w:style w:type="character" w:customStyle="1" w:styleId="TextkomenteChar">
    <w:name w:val="Text komentáře Char"/>
    <w:basedOn w:val="Standardnpsmoodstavce"/>
    <w:link w:val="Textkomente"/>
    <w:uiPriority w:val="99"/>
    <w:rsid w:val="00750EB0"/>
    <w:rPr>
      <w:sz w:val="20"/>
      <w:szCs w:val="20"/>
    </w:rPr>
  </w:style>
  <w:style w:type="paragraph" w:styleId="Pedmtkomente">
    <w:name w:val="annotation subject"/>
    <w:basedOn w:val="Textkomente"/>
    <w:next w:val="Textkomente"/>
    <w:link w:val="PedmtkomenteChar"/>
    <w:uiPriority w:val="99"/>
    <w:semiHidden/>
    <w:unhideWhenUsed/>
    <w:rsid w:val="00750EB0"/>
    <w:rPr>
      <w:b/>
      <w:bCs/>
    </w:rPr>
  </w:style>
  <w:style w:type="character" w:customStyle="1" w:styleId="PedmtkomenteChar">
    <w:name w:val="Předmět komentáře Char"/>
    <w:basedOn w:val="TextkomenteChar"/>
    <w:link w:val="Pedmtkomente"/>
    <w:uiPriority w:val="99"/>
    <w:semiHidden/>
    <w:rsid w:val="00750E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6615">
      <w:bodyDiv w:val="1"/>
      <w:marLeft w:val="0"/>
      <w:marRight w:val="0"/>
      <w:marTop w:val="0"/>
      <w:marBottom w:val="0"/>
      <w:divBdr>
        <w:top w:val="none" w:sz="0" w:space="0" w:color="auto"/>
        <w:left w:val="none" w:sz="0" w:space="0" w:color="auto"/>
        <w:bottom w:val="none" w:sz="0" w:space="0" w:color="auto"/>
        <w:right w:val="none" w:sz="0" w:space="0" w:color="auto"/>
      </w:divBdr>
      <w:divsChild>
        <w:div w:id="4439603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21411778">
              <w:marLeft w:val="0"/>
              <w:marRight w:val="0"/>
              <w:marTop w:val="0"/>
              <w:marBottom w:val="0"/>
              <w:divBdr>
                <w:top w:val="none" w:sz="0" w:space="0" w:color="auto"/>
                <w:left w:val="none" w:sz="0" w:space="0" w:color="auto"/>
                <w:bottom w:val="none" w:sz="0" w:space="0" w:color="auto"/>
                <w:right w:val="none" w:sz="0" w:space="0" w:color="auto"/>
              </w:divBdr>
            </w:div>
          </w:divsChild>
        </w:div>
        <w:div w:id="1323387986">
          <w:marLeft w:val="0"/>
          <w:marRight w:val="0"/>
          <w:marTop w:val="0"/>
          <w:marBottom w:val="0"/>
          <w:divBdr>
            <w:top w:val="none" w:sz="0" w:space="0" w:color="auto"/>
            <w:left w:val="none" w:sz="0" w:space="0" w:color="auto"/>
            <w:bottom w:val="none" w:sz="0" w:space="0" w:color="auto"/>
            <w:right w:val="none" w:sz="0" w:space="0" w:color="auto"/>
          </w:divBdr>
          <w:divsChild>
            <w:div w:id="8196875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1217743">
      <w:bodyDiv w:val="1"/>
      <w:marLeft w:val="0"/>
      <w:marRight w:val="0"/>
      <w:marTop w:val="0"/>
      <w:marBottom w:val="0"/>
      <w:divBdr>
        <w:top w:val="none" w:sz="0" w:space="0" w:color="auto"/>
        <w:left w:val="none" w:sz="0" w:space="0" w:color="auto"/>
        <w:bottom w:val="none" w:sz="0" w:space="0" w:color="auto"/>
        <w:right w:val="none" w:sz="0" w:space="0" w:color="auto"/>
      </w:divBdr>
      <w:divsChild>
        <w:div w:id="585500886">
          <w:marLeft w:val="0"/>
          <w:marRight w:val="0"/>
          <w:marTop w:val="0"/>
          <w:marBottom w:val="0"/>
          <w:divBdr>
            <w:top w:val="none" w:sz="0" w:space="0" w:color="auto"/>
            <w:left w:val="none" w:sz="0" w:space="0" w:color="auto"/>
            <w:bottom w:val="none" w:sz="0" w:space="0" w:color="auto"/>
            <w:right w:val="none" w:sz="0" w:space="0" w:color="auto"/>
          </w:divBdr>
        </w:div>
      </w:divsChild>
    </w:div>
    <w:div w:id="1013872416">
      <w:bodyDiv w:val="1"/>
      <w:marLeft w:val="0"/>
      <w:marRight w:val="0"/>
      <w:marTop w:val="0"/>
      <w:marBottom w:val="0"/>
      <w:divBdr>
        <w:top w:val="none" w:sz="0" w:space="0" w:color="auto"/>
        <w:left w:val="none" w:sz="0" w:space="0" w:color="auto"/>
        <w:bottom w:val="none" w:sz="0" w:space="0" w:color="auto"/>
        <w:right w:val="none" w:sz="0" w:space="0" w:color="auto"/>
      </w:divBdr>
      <w:divsChild>
        <w:div w:id="55771277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93212371">
              <w:marLeft w:val="0"/>
              <w:marRight w:val="0"/>
              <w:marTop w:val="0"/>
              <w:marBottom w:val="0"/>
              <w:divBdr>
                <w:top w:val="none" w:sz="0" w:space="0" w:color="auto"/>
                <w:left w:val="none" w:sz="0" w:space="0" w:color="auto"/>
                <w:bottom w:val="none" w:sz="0" w:space="0" w:color="auto"/>
                <w:right w:val="none" w:sz="0" w:space="0" w:color="auto"/>
              </w:divBdr>
            </w:div>
          </w:divsChild>
        </w:div>
        <w:div w:id="249507751">
          <w:marLeft w:val="0"/>
          <w:marRight w:val="0"/>
          <w:marTop w:val="0"/>
          <w:marBottom w:val="0"/>
          <w:divBdr>
            <w:top w:val="none" w:sz="0" w:space="0" w:color="auto"/>
            <w:left w:val="none" w:sz="0" w:space="0" w:color="auto"/>
            <w:bottom w:val="none" w:sz="0" w:space="0" w:color="auto"/>
            <w:right w:val="none" w:sz="0" w:space="0" w:color="auto"/>
          </w:divBdr>
          <w:divsChild>
            <w:div w:id="9349465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44228827">
      <w:bodyDiv w:val="1"/>
      <w:marLeft w:val="0"/>
      <w:marRight w:val="0"/>
      <w:marTop w:val="0"/>
      <w:marBottom w:val="0"/>
      <w:divBdr>
        <w:top w:val="none" w:sz="0" w:space="0" w:color="auto"/>
        <w:left w:val="none" w:sz="0" w:space="0" w:color="auto"/>
        <w:bottom w:val="none" w:sz="0" w:space="0" w:color="auto"/>
        <w:right w:val="none" w:sz="0" w:space="0" w:color="auto"/>
      </w:divBdr>
      <w:divsChild>
        <w:div w:id="17026337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78476903">
              <w:marLeft w:val="0"/>
              <w:marRight w:val="0"/>
              <w:marTop w:val="0"/>
              <w:marBottom w:val="0"/>
              <w:divBdr>
                <w:top w:val="none" w:sz="0" w:space="0" w:color="auto"/>
                <w:left w:val="none" w:sz="0" w:space="0" w:color="auto"/>
                <w:bottom w:val="none" w:sz="0" w:space="0" w:color="auto"/>
                <w:right w:val="none" w:sz="0" w:space="0" w:color="auto"/>
              </w:divBdr>
            </w:div>
          </w:divsChild>
        </w:div>
        <w:div w:id="1924292234">
          <w:marLeft w:val="0"/>
          <w:marRight w:val="0"/>
          <w:marTop w:val="180"/>
          <w:marBottom w:val="240"/>
          <w:divBdr>
            <w:top w:val="none" w:sz="0" w:space="0" w:color="auto"/>
            <w:left w:val="none" w:sz="0" w:space="0" w:color="auto"/>
            <w:bottom w:val="none" w:sz="0" w:space="0" w:color="auto"/>
            <w:right w:val="none" w:sz="0" w:space="0" w:color="auto"/>
          </w:divBdr>
        </w:div>
        <w:div w:id="6587934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192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0765">
      <w:bodyDiv w:val="1"/>
      <w:marLeft w:val="0"/>
      <w:marRight w:val="0"/>
      <w:marTop w:val="0"/>
      <w:marBottom w:val="0"/>
      <w:divBdr>
        <w:top w:val="none" w:sz="0" w:space="0" w:color="auto"/>
        <w:left w:val="none" w:sz="0" w:space="0" w:color="auto"/>
        <w:bottom w:val="none" w:sz="0" w:space="0" w:color="auto"/>
        <w:right w:val="none" w:sz="0" w:space="0" w:color="auto"/>
      </w:divBdr>
      <w:divsChild>
        <w:div w:id="11866782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22145326">
              <w:marLeft w:val="0"/>
              <w:marRight w:val="0"/>
              <w:marTop w:val="0"/>
              <w:marBottom w:val="0"/>
              <w:divBdr>
                <w:top w:val="none" w:sz="0" w:space="0" w:color="auto"/>
                <w:left w:val="none" w:sz="0" w:space="0" w:color="auto"/>
                <w:bottom w:val="none" w:sz="0" w:space="0" w:color="auto"/>
                <w:right w:val="none" w:sz="0" w:space="0" w:color="auto"/>
              </w:divBdr>
            </w:div>
          </w:divsChild>
        </w:div>
        <w:div w:id="326371652">
          <w:marLeft w:val="0"/>
          <w:marRight w:val="0"/>
          <w:marTop w:val="180"/>
          <w:marBottom w:val="240"/>
          <w:divBdr>
            <w:top w:val="none" w:sz="0" w:space="0" w:color="auto"/>
            <w:left w:val="none" w:sz="0" w:space="0" w:color="auto"/>
            <w:bottom w:val="none" w:sz="0" w:space="0" w:color="auto"/>
            <w:right w:val="none" w:sz="0" w:space="0" w:color="auto"/>
          </w:divBdr>
        </w:div>
        <w:div w:id="16539421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862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2016303376">
      <w:bodyDiv w:val="1"/>
      <w:marLeft w:val="0"/>
      <w:marRight w:val="0"/>
      <w:marTop w:val="0"/>
      <w:marBottom w:val="0"/>
      <w:divBdr>
        <w:top w:val="none" w:sz="0" w:space="0" w:color="auto"/>
        <w:left w:val="none" w:sz="0" w:space="0" w:color="auto"/>
        <w:bottom w:val="none" w:sz="0" w:space="0" w:color="auto"/>
        <w:right w:val="none" w:sz="0" w:space="0" w:color="auto"/>
      </w:divBdr>
      <w:divsChild>
        <w:div w:id="1095787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647</Words>
  <Characters>4018</Characters>
  <Application>Microsoft Office Word</Application>
  <DocSecurity>0</DocSecurity>
  <Lines>56</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19</cp:revision>
  <cp:lastPrinted>2025-01-14T15:40:00Z</cp:lastPrinted>
  <dcterms:created xsi:type="dcterms:W3CDTF">2026-09-09T07:21:00Z</dcterms:created>
  <dcterms:modified xsi:type="dcterms:W3CDTF">2026-09-24T21:08:00Z</dcterms:modified>
</cp:coreProperties>
</file>