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A0341" w14:textId="77777777" w:rsidR="00D2152F" w:rsidRPr="00970F06" w:rsidRDefault="00D2152F" w:rsidP="00D2152F">
      <w:pPr>
        <w:spacing w:before="240"/>
        <w:jc w:val="right"/>
        <w:rPr>
          <w:rFonts w:ascii="Arial" w:hAnsi="Arial" w:cs="Arial"/>
          <w:color w:val="2658A5"/>
          <w:sz w:val="48"/>
          <w:szCs w:val="48"/>
        </w:rPr>
      </w:pPr>
      <w:r w:rsidRPr="00252EB5">
        <w:rPr>
          <w:rFonts w:ascii="Arial" w:eastAsia="Calibri" w:hAnsi="Arial" w:cs="Arial"/>
          <w:b/>
          <w:bCs/>
          <w:sz w:val="20"/>
          <w:szCs w:val="20"/>
          <w:lang w:val="en-GB"/>
        </w:rPr>
        <w:drawing>
          <wp:anchor distT="0" distB="0" distL="114300" distR="114300" simplePos="0" relativeHeight="251659264" behindDoc="0" locked="0" layoutInCell="1" allowOverlap="1" wp14:anchorId="0D1BB9FF" wp14:editId="7BBB15E5">
            <wp:simplePos x="0" y="0"/>
            <wp:positionH relativeFrom="margin">
              <wp:posOffset>0</wp:posOffset>
            </wp:positionH>
            <wp:positionV relativeFrom="paragraph">
              <wp:posOffset>56515</wp:posOffset>
            </wp:positionV>
            <wp:extent cx="2695575" cy="511379"/>
            <wp:effectExtent l="0" t="0" r="0" b="3175"/>
            <wp:wrapNone/>
            <wp:docPr id="1284560963" name="Obrázek 1" descr="Obsah obrázku Písmo, Grafika, text,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0963" name="Obrázek 1" descr="Obsah obrázku Písmo, Grafika, text, snímek obrazovky&#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5113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2658A5"/>
          <w:sz w:val="48"/>
          <w:szCs w:val="48"/>
        </w:rPr>
        <w:t>PRESS RELEASE</w:t>
      </w:r>
    </w:p>
    <w:p w14:paraId="0022BE11" w14:textId="4FE24414" w:rsidR="003E3B85" w:rsidRDefault="003E3B85" w:rsidP="003E3B85">
      <w:pPr>
        <w:jc w:val="both"/>
        <w:rPr>
          <w:rFonts w:ascii="Montserrat" w:hAnsi="Montserrat"/>
          <w:sz w:val="20"/>
          <w:szCs w:val="20"/>
        </w:rPr>
      </w:pPr>
    </w:p>
    <w:p w14:paraId="7BDC8DE0" w14:textId="77777777" w:rsidR="003E3B85" w:rsidRDefault="003E3B85" w:rsidP="003E3B85">
      <w:pPr>
        <w:spacing w:before="240"/>
        <w:rPr>
          <w:rFonts w:ascii="Montserrat" w:hAnsi="Montserrat"/>
          <w:b/>
          <w:bCs/>
          <w:color w:val="2658A5"/>
          <w:sz w:val="32"/>
          <w:szCs w:val="32"/>
        </w:rPr>
      </w:pPr>
    </w:p>
    <w:p w14:paraId="0226F6C2" w14:textId="46B73BE5" w:rsidR="00546B88" w:rsidRPr="00546B88" w:rsidRDefault="00546B88" w:rsidP="00546B88">
      <w:pPr>
        <w:jc w:val="both"/>
        <w:rPr>
          <w:rFonts w:ascii="Arial" w:hAnsi="Arial" w:cs="Arial"/>
          <w:b/>
          <w:bCs/>
          <w:color w:val="2658A5"/>
          <w:sz w:val="32"/>
          <w:szCs w:val="32"/>
          <w:lang w:val="en-GB"/>
        </w:rPr>
      </w:pPr>
      <w:r>
        <w:rPr>
          <w:rFonts w:ascii="Arial" w:hAnsi="Arial" w:cs="Arial"/>
          <w:b/>
          <w:bCs/>
          <w:color w:val="2658A5"/>
          <w:sz w:val="32"/>
          <w:szCs w:val="32"/>
        </w:rPr>
        <w:t>C</w:t>
      </w:r>
      <w:r w:rsidRPr="00546B88">
        <w:rPr>
          <w:rFonts w:ascii="Arial" w:hAnsi="Arial" w:cs="Arial"/>
          <w:b/>
          <w:bCs/>
          <w:color w:val="2658A5"/>
          <w:sz w:val="32"/>
          <w:szCs w:val="32"/>
          <w:lang w:val="en-GB"/>
        </w:rPr>
        <w:t>TIA</w:t>
      </w:r>
      <w:r w:rsidRPr="00546B88">
        <w:rPr>
          <w:rFonts w:ascii="Arial" w:hAnsi="Arial" w:cs="Arial"/>
          <w:b/>
          <w:bCs/>
          <w:color w:val="2658A5"/>
          <w:sz w:val="32"/>
          <w:szCs w:val="32"/>
          <w:lang w:val="en-GB"/>
        </w:rPr>
        <w:t xml:space="preserve"> carried out 103 inspections of e-shops in the second quarter, finding breaches of legal regulations in 94 of them</w:t>
      </w:r>
    </w:p>
    <w:p w14:paraId="2BD51FFC"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(Prague, 12 August 2026)</w:t>
      </w:r>
      <w:r w:rsidRPr="00546B88">
        <w:rPr>
          <w:rFonts w:ascii="Arial" w:hAnsi="Arial" w:cs="Arial"/>
          <w:b/>
          <w:bCs/>
          <w:sz w:val="20"/>
          <w:szCs w:val="20"/>
          <w:lang w:val="en-GB"/>
        </w:rPr>
        <w:t xml:space="preserve"> In the second quarter of this year, the Czech Trade Inspection Authority continued its inspections of e-shops, focusing on those suspected of failing to comply with their legal obligations. Between 1 April and 30 June 2026, a total of 103 inspections were carried out to verify compliance with the obligations arising from Act No. 634/1992 Coll., on Consumer Protection, and other legal regulations. Breaches of legal regulations were identified in 94 inspections, i.e. 91.26 per cent of those carried out.</w:t>
      </w:r>
    </w:p>
    <w:p w14:paraId="2A38C02C"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The inspection activity focuses consistently on the fulfilment of obligations by sellers – legal entities and self-employed individuals – when selling via the internet, including mobile applications and social media. The aim of the inspections was to capture the full content of websites and assess all information presented to consumers in connection with the offering and sale of products and services.</w:t>
      </w:r>
    </w:p>
    <w:p w14:paraId="5E311640"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Within the inspection activity, a total of 414 cases of breaches of EU laws and regulations relating to the offering and sale of goods and services via the means of distance communication were identified in the second quarter.</w:t>
      </w:r>
    </w:p>
    <w:p w14:paraId="1C2F6CEB"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 xml:space="preserve">Act No. 634/1992 Coll., </w:t>
      </w:r>
      <w:r w:rsidRPr="00546B88">
        <w:rPr>
          <w:rFonts w:ascii="Arial" w:hAnsi="Arial" w:cs="Arial"/>
          <w:b/>
          <w:bCs/>
          <w:sz w:val="20"/>
          <w:szCs w:val="20"/>
          <w:lang w:val="en-GB"/>
        </w:rPr>
        <w:t>on Consumer Protection, was breached in 159 cases in the second quarter.</w:t>
      </w:r>
    </w:p>
    <w:p w14:paraId="62723AC7" w14:textId="77777777" w:rsidR="00546B88" w:rsidRPr="00546B88" w:rsidRDefault="00546B88" w:rsidP="00546B88">
      <w:pPr>
        <w:jc w:val="both"/>
        <w:rPr>
          <w:rFonts w:ascii="Arial" w:hAnsi="Arial" w:cs="Arial"/>
          <w:sz w:val="20"/>
          <w:szCs w:val="20"/>
          <w:lang w:val="en-GB"/>
        </w:rPr>
      </w:pPr>
      <w:r w:rsidRPr="00546B88">
        <w:rPr>
          <w:rFonts w:ascii="Arial" w:hAnsi="Arial" w:cs="Arial"/>
          <w:b/>
          <w:bCs/>
          <w:sz w:val="20"/>
          <w:szCs w:val="20"/>
          <w:lang w:val="en-GB"/>
        </w:rPr>
        <w:t>The most common finding, in 61 cases, was a breach of Section 13, which imposes an obligation on the seller to inform the consumer of the scope, conditions and procedure for exercising their right arising from defective performance (claim)</w:t>
      </w:r>
      <w:r w:rsidRPr="00546B88">
        <w:rPr>
          <w:rFonts w:ascii="Arial" w:hAnsi="Arial" w:cs="Arial"/>
          <w:sz w:val="20"/>
          <w:szCs w:val="20"/>
          <w:lang w:val="en-GB"/>
        </w:rPr>
        <w:t xml:space="preserve">, together with details of where the claim can be made. </w:t>
      </w:r>
      <w:r w:rsidRPr="00546B88">
        <w:rPr>
          <w:rFonts w:ascii="Arial" w:hAnsi="Arial" w:cs="Arial"/>
          <w:b/>
          <w:bCs/>
          <w:sz w:val="20"/>
          <w:szCs w:val="20"/>
          <w:lang w:val="en-GB"/>
        </w:rPr>
        <w:t>The next most common finding was 52 cases of breaches of the prohibition on the use of unfair commercial practices</w:t>
      </w:r>
      <w:r w:rsidRPr="00546B88">
        <w:rPr>
          <w:rFonts w:ascii="Arial" w:hAnsi="Arial" w:cs="Arial"/>
          <w:sz w:val="20"/>
          <w:szCs w:val="20"/>
          <w:lang w:val="en-GB"/>
        </w:rPr>
        <w:t xml:space="preserve">; these mainly involved breaches of Section 4(4) in connection with Section 5(1) and (2) (31 cases), where </w:t>
      </w:r>
      <w:r w:rsidRPr="00546B88">
        <w:rPr>
          <w:rFonts w:ascii="Arial" w:hAnsi="Arial" w:cs="Arial"/>
          <w:b/>
          <w:bCs/>
          <w:sz w:val="20"/>
          <w:szCs w:val="20"/>
          <w:lang w:val="en-GB"/>
        </w:rPr>
        <w:t>misleading conduct by the seller towards the consumer was identified, in the sense of providing false or misleading information about the product, service, price, after-sales service, the seller, consumer rights</w:t>
      </w:r>
      <w:r w:rsidRPr="00546B88">
        <w:rPr>
          <w:rFonts w:ascii="Arial" w:hAnsi="Arial" w:cs="Arial"/>
          <w:sz w:val="20"/>
          <w:szCs w:val="20"/>
          <w:lang w:val="en-GB"/>
        </w:rPr>
        <w:t xml:space="preserve">, etc. Furthermore, </w:t>
      </w:r>
      <w:r w:rsidRPr="00546B88">
        <w:rPr>
          <w:rFonts w:ascii="Arial" w:hAnsi="Arial" w:cs="Arial"/>
          <w:sz w:val="20"/>
          <w:szCs w:val="20"/>
          <w:lang w:val="en-GB"/>
        </w:rPr>
        <w:br/>
        <w:t xml:space="preserve">in 19 cases, there were infringements of Section 4(4) in relation to Section 5a(1), (2) or (5), where </w:t>
      </w:r>
      <w:r w:rsidRPr="00546B88">
        <w:rPr>
          <w:rFonts w:ascii="Arial" w:hAnsi="Arial" w:cs="Arial"/>
          <w:b/>
          <w:bCs/>
          <w:sz w:val="20"/>
          <w:szCs w:val="20"/>
          <w:lang w:val="en-GB"/>
        </w:rPr>
        <w:t>misleading omissions</w:t>
      </w:r>
      <w:r w:rsidRPr="00546B88">
        <w:rPr>
          <w:rFonts w:ascii="Arial" w:hAnsi="Arial" w:cs="Arial"/>
          <w:sz w:val="20"/>
          <w:szCs w:val="20"/>
          <w:lang w:val="en-GB"/>
        </w:rPr>
        <w:t xml:space="preserve"> were identified, as the seller or service provider failed to provide the consumer with essential information about the product or service, or concealed such information or provided it in an unclear, ambiguously or in an incomprehensible manner. Of these, 16 cases concerned </w:t>
      </w:r>
      <w:r w:rsidRPr="00546B88">
        <w:rPr>
          <w:rFonts w:ascii="Arial" w:hAnsi="Arial" w:cs="Arial"/>
          <w:b/>
          <w:bCs/>
          <w:sz w:val="20"/>
          <w:szCs w:val="20"/>
          <w:lang w:val="en-GB"/>
        </w:rPr>
        <w:t>consumer reviews</w:t>
      </w:r>
      <w:r w:rsidRPr="00546B88">
        <w:rPr>
          <w:rFonts w:ascii="Arial" w:hAnsi="Arial" w:cs="Arial"/>
          <w:sz w:val="20"/>
          <w:szCs w:val="20"/>
          <w:lang w:val="en-GB"/>
        </w:rPr>
        <w:t xml:space="preserve"> under the provisions of Section 4(4) in conjunction with Section 5</w:t>
      </w:r>
      <w:proofErr w:type="gramStart"/>
      <w:r w:rsidRPr="00546B88">
        <w:rPr>
          <w:rFonts w:ascii="Arial" w:hAnsi="Arial" w:cs="Arial"/>
          <w:sz w:val="20"/>
          <w:szCs w:val="20"/>
          <w:lang w:val="en-GB"/>
        </w:rPr>
        <w:t>a(</w:t>
      </w:r>
      <w:proofErr w:type="gramEnd"/>
      <w:r w:rsidRPr="00546B88">
        <w:rPr>
          <w:rFonts w:ascii="Arial" w:hAnsi="Arial" w:cs="Arial"/>
          <w:sz w:val="20"/>
          <w:szCs w:val="20"/>
          <w:lang w:val="en-GB"/>
        </w:rPr>
        <w:t>5), where the seller failed to state whether and how they ensured that the published consumer review originated from a consumer who had actually purchased the product or service.</w:t>
      </w:r>
    </w:p>
    <w:p w14:paraId="5345C21A" w14:textId="77777777" w:rsidR="00546B88" w:rsidRPr="00546B88" w:rsidRDefault="00546B88" w:rsidP="00546B88">
      <w:pPr>
        <w:jc w:val="both"/>
        <w:rPr>
          <w:rFonts w:ascii="Arial" w:hAnsi="Arial" w:cs="Arial"/>
          <w:sz w:val="20"/>
          <w:szCs w:val="20"/>
          <w:lang w:val="en-GB"/>
        </w:rPr>
      </w:pPr>
      <w:r w:rsidRPr="00546B88">
        <w:rPr>
          <w:rFonts w:ascii="Arial" w:hAnsi="Arial" w:cs="Arial"/>
          <w:b/>
          <w:bCs/>
          <w:sz w:val="20"/>
          <w:szCs w:val="20"/>
          <w:lang w:val="en-GB"/>
        </w:rPr>
        <w:t>Another frequently breached provision</w:t>
      </w:r>
      <w:r w:rsidRPr="00546B88">
        <w:rPr>
          <w:rFonts w:ascii="Arial" w:hAnsi="Arial" w:cs="Arial"/>
          <w:sz w:val="20"/>
          <w:szCs w:val="20"/>
          <w:lang w:val="en-GB"/>
        </w:rPr>
        <w:t xml:space="preserve"> of the Act on Consumer Protection was Section 14(1) (18 cases), where the seller </w:t>
      </w:r>
      <w:r w:rsidRPr="00546B88">
        <w:rPr>
          <w:rFonts w:ascii="Arial" w:hAnsi="Arial" w:cs="Arial"/>
          <w:b/>
          <w:bCs/>
          <w:sz w:val="20"/>
          <w:szCs w:val="20"/>
          <w:lang w:val="en-GB"/>
        </w:rPr>
        <w:t>failed in any way to inform the consumer about the body responsible for the out-of-court settlement of consumer disputes</w:t>
      </w:r>
      <w:r w:rsidRPr="00546B88">
        <w:rPr>
          <w:rFonts w:ascii="Arial" w:hAnsi="Arial" w:cs="Arial"/>
          <w:sz w:val="20"/>
          <w:szCs w:val="20"/>
          <w:lang w:val="en-GB"/>
        </w:rPr>
        <w:t xml:space="preserve"> (ADR).</w:t>
      </w:r>
    </w:p>
    <w:p w14:paraId="3634492C" w14:textId="77777777" w:rsidR="00546B88" w:rsidRPr="00546B88" w:rsidRDefault="00546B88" w:rsidP="00546B88">
      <w:pPr>
        <w:jc w:val="both"/>
        <w:rPr>
          <w:rFonts w:ascii="Arial" w:hAnsi="Arial" w:cs="Arial"/>
          <w:sz w:val="20"/>
          <w:szCs w:val="20"/>
          <w:lang w:val="en-GB"/>
        </w:rPr>
      </w:pPr>
      <w:r w:rsidRPr="00546B88">
        <w:rPr>
          <w:rFonts w:ascii="Arial" w:hAnsi="Arial" w:cs="Arial"/>
          <w:b/>
          <w:bCs/>
          <w:sz w:val="20"/>
          <w:szCs w:val="20"/>
          <w:lang w:val="en-GB"/>
        </w:rPr>
        <w:t>Act No. 89/2012 Coll., the Civil Code, was</w:t>
      </w:r>
      <w:r w:rsidRPr="00546B88">
        <w:rPr>
          <w:rFonts w:ascii="Arial" w:hAnsi="Arial" w:cs="Arial"/>
          <w:sz w:val="20"/>
          <w:szCs w:val="20"/>
          <w:lang w:val="en-GB"/>
        </w:rPr>
        <w:t xml:space="preserve"> </w:t>
      </w:r>
      <w:r w:rsidRPr="00546B88">
        <w:rPr>
          <w:rFonts w:ascii="Arial" w:hAnsi="Arial" w:cs="Arial"/>
          <w:b/>
          <w:bCs/>
          <w:sz w:val="20"/>
          <w:szCs w:val="20"/>
          <w:lang w:val="en-GB"/>
        </w:rPr>
        <w:t>breached in total</w:t>
      </w:r>
      <w:r w:rsidRPr="00546B88">
        <w:rPr>
          <w:rFonts w:ascii="Arial" w:hAnsi="Arial" w:cs="Arial"/>
          <w:sz w:val="20"/>
          <w:szCs w:val="20"/>
          <w:lang w:val="en-GB"/>
        </w:rPr>
        <w:br/>
      </w:r>
      <w:r w:rsidRPr="00546B88">
        <w:rPr>
          <w:rFonts w:ascii="Arial" w:hAnsi="Arial" w:cs="Arial"/>
          <w:b/>
          <w:bCs/>
          <w:sz w:val="20"/>
          <w:szCs w:val="20"/>
          <w:lang w:val="en-GB"/>
        </w:rPr>
        <w:t>in 186 cases</w:t>
      </w:r>
      <w:r w:rsidRPr="00546B88">
        <w:rPr>
          <w:rFonts w:ascii="Arial" w:hAnsi="Arial" w:cs="Arial"/>
          <w:sz w:val="20"/>
          <w:szCs w:val="20"/>
          <w:lang w:val="en-GB"/>
        </w:rPr>
        <w:t xml:space="preserve"> during the period under review. The most frequently identified infringement was of Section 1820 (101 cases), which generally concerns the provision of information prior to the conclusion of a contract when using means of distance communication; of these,</w:t>
      </w:r>
      <w:r w:rsidRPr="00546B88">
        <w:rPr>
          <w:rFonts w:ascii="Arial" w:hAnsi="Arial" w:cs="Arial"/>
          <w:sz w:val="20"/>
          <w:szCs w:val="20"/>
          <w:lang w:val="en-GB"/>
        </w:rPr>
        <w:br/>
        <w:t xml:space="preserve">in 36 cases, it was found that </w:t>
      </w:r>
      <w:r w:rsidRPr="00546B88">
        <w:rPr>
          <w:rFonts w:ascii="Arial" w:hAnsi="Arial" w:cs="Arial"/>
          <w:b/>
          <w:bCs/>
          <w:sz w:val="20"/>
          <w:szCs w:val="20"/>
          <w:lang w:val="en-GB"/>
        </w:rPr>
        <w:t>the consumer had not been informed of the conditions, time limits and procedure for exercising the right to withdraw from the contract</w:t>
      </w:r>
      <w:r w:rsidRPr="00546B88">
        <w:rPr>
          <w:rFonts w:ascii="Arial" w:hAnsi="Arial" w:cs="Arial"/>
          <w:sz w:val="20"/>
          <w:szCs w:val="20"/>
          <w:lang w:val="en-GB"/>
        </w:rPr>
        <w:t>, nor had they been provided with the model withdrawal form in accordance with Section 1820(1)(</w:t>
      </w:r>
      <w:proofErr w:type="spellStart"/>
      <w:r w:rsidRPr="00546B88">
        <w:rPr>
          <w:rFonts w:ascii="Arial" w:hAnsi="Arial" w:cs="Arial"/>
          <w:sz w:val="20"/>
          <w:szCs w:val="20"/>
          <w:lang w:val="en-GB"/>
        </w:rPr>
        <w:t>i</w:t>
      </w:r>
      <w:proofErr w:type="spellEnd"/>
      <w:r w:rsidRPr="00546B88">
        <w:rPr>
          <w:rFonts w:ascii="Arial" w:hAnsi="Arial" w:cs="Arial"/>
          <w:sz w:val="20"/>
          <w:szCs w:val="20"/>
          <w:lang w:val="en-GB"/>
        </w:rPr>
        <w:t xml:space="preserve">). Another frequent breach (10 </w:t>
      </w:r>
      <w:r w:rsidRPr="00546B88">
        <w:rPr>
          <w:rFonts w:ascii="Arial" w:hAnsi="Arial" w:cs="Arial"/>
          <w:sz w:val="20"/>
          <w:szCs w:val="20"/>
          <w:lang w:val="en-GB"/>
        </w:rPr>
        <w:lastRenderedPageBreak/>
        <w:t>cases) concerned Section 1820(1)(e), which relates to the obligation to inform the consumer in advance of the total price of the goods or services, including all related taxes and charges and delivery costs,</w:t>
      </w:r>
    </w:p>
    <w:p w14:paraId="0EE7DBC7"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 xml:space="preserve">Furthermore, 32 cases of infringements of Section 1827(2) were identified, where sellers </w:t>
      </w:r>
      <w:r w:rsidRPr="00546B88">
        <w:rPr>
          <w:rFonts w:ascii="Arial" w:hAnsi="Arial" w:cs="Arial"/>
          <w:b/>
          <w:bCs/>
          <w:sz w:val="20"/>
          <w:szCs w:val="20"/>
          <w:lang w:val="en-GB"/>
        </w:rPr>
        <w:t>failed to provide the consumer with the text of the contract and the general terms and conditions in text form when concluding a contract by electronic means.</w:t>
      </w:r>
    </w:p>
    <w:p w14:paraId="6FE71D02"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The final provision of the Civil Code that was most frequently breached was Section 1826</w:t>
      </w:r>
      <w:proofErr w:type="gramStart"/>
      <w:r w:rsidRPr="00546B88">
        <w:rPr>
          <w:rFonts w:ascii="Arial" w:hAnsi="Arial" w:cs="Arial"/>
          <w:sz w:val="20"/>
          <w:szCs w:val="20"/>
          <w:lang w:val="en-GB"/>
        </w:rPr>
        <w:t>a(</w:t>
      </w:r>
      <w:proofErr w:type="gramEnd"/>
      <w:r w:rsidRPr="00546B88">
        <w:rPr>
          <w:rFonts w:ascii="Arial" w:hAnsi="Arial" w:cs="Arial"/>
          <w:sz w:val="20"/>
          <w:szCs w:val="20"/>
          <w:lang w:val="en-GB"/>
        </w:rPr>
        <w:t xml:space="preserve">2), which </w:t>
      </w:r>
      <w:r w:rsidRPr="00546B88">
        <w:rPr>
          <w:rFonts w:ascii="Arial" w:hAnsi="Arial" w:cs="Arial"/>
          <w:b/>
          <w:bCs/>
          <w:sz w:val="20"/>
          <w:szCs w:val="20"/>
          <w:lang w:val="en-GB"/>
        </w:rPr>
        <w:t>imposes an obligation on traders to ensure that, when placing an order via means of distance communication, the consumer expressly acknowledges that they are committing to payment</w:t>
      </w:r>
      <w:r w:rsidRPr="00546B88">
        <w:rPr>
          <w:rFonts w:ascii="Arial" w:hAnsi="Arial" w:cs="Arial"/>
          <w:sz w:val="20"/>
          <w:szCs w:val="20"/>
          <w:lang w:val="en-GB"/>
        </w:rPr>
        <w:t>. If an order is placed by using a button or similar control element, this must bear the easily legible wording ‘order binding for payment’ or another equivalent, unambiguous formulation. This breach was identified in a total of 21 cases.</w:t>
      </w:r>
    </w:p>
    <w:p w14:paraId="1050CD04"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 xml:space="preserve">Breaches of other legal regulations falling within the </w:t>
      </w:r>
      <w:proofErr w:type="spellStart"/>
      <w:r w:rsidRPr="00546B88">
        <w:rPr>
          <w:rFonts w:ascii="Arial" w:hAnsi="Arial" w:cs="Arial"/>
          <w:sz w:val="20"/>
          <w:szCs w:val="20"/>
          <w:lang w:val="en-GB"/>
        </w:rPr>
        <w:t>the</w:t>
      </w:r>
      <w:proofErr w:type="spellEnd"/>
      <w:r w:rsidRPr="00546B88">
        <w:rPr>
          <w:rFonts w:ascii="Arial" w:hAnsi="Arial" w:cs="Arial"/>
          <w:sz w:val="20"/>
          <w:szCs w:val="20"/>
          <w:lang w:val="en-GB"/>
        </w:rPr>
        <w:t xml:space="preserve"> CTIA’s surveillance scope were </w:t>
      </w:r>
      <w:proofErr w:type="spellStart"/>
      <w:r w:rsidRPr="00546B88">
        <w:rPr>
          <w:rFonts w:ascii="Arial" w:hAnsi="Arial" w:cs="Arial"/>
          <w:sz w:val="20"/>
          <w:szCs w:val="20"/>
          <w:lang w:val="en-GB"/>
        </w:rPr>
        <w:t>identifiedin</w:t>
      </w:r>
      <w:proofErr w:type="spellEnd"/>
      <w:r w:rsidRPr="00546B88">
        <w:rPr>
          <w:rFonts w:ascii="Arial" w:hAnsi="Arial" w:cs="Arial"/>
          <w:sz w:val="20"/>
          <w:szCs w:val="20"/>
          <w:lang w:val="en-GB"/>
        </w:rPr>
        <w:t xml:space="preserve"> 69 cases.</w:t>
      </w:r>
    </w:p>
    <w:p w14:paraId="06D5CC87"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 xml:space="preserve">The inspection activity also included </w:t>
      </w:r>
      <w:r w:rsidRPr="00546B88">
        <w:rPr>
          <w:rFonts w:ascii="Arial" w:hAnsi="Arial" w:cs="Arial"/>
          <w:b/>
          <w:bCs/>
          <w:sz w:val="20"/>
          <w:szCs w:val="20"/>
          <w:lang w:val="en-GB"/>
        </w:rPr>
        <w:t xml:space="preserve">an assessment of compliance with the accessibility requirements for e-commerce services under Act No. 424/2023 Coll., on the accessibility requirements for certain products and services. </w:t>
      </w:r>
      <w:r w:rsidRPr="00546B88">
        <w:rPr>
          <w:rFonts w:ascii="Arial" w:hAnsi="Arial" w:cs="Arial"/>
          <w:sz w:val="20"/>
          <w:szCs w:val="20"/>
          <w:lang w:val="en-GB"/>
        </w:rPr>
        <w:t>This Act imposes an obligation on e-shop operators to ensure that their websites and mobile applications are accessible to people with disabilities or other limitations.</w:t>
      </w:r>
    </w:p>
    <w:p w14:paraId="531401C0"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In the second quarter, 47 inspections were carried out within the campaign, focusing on compliance with the accessibility requirements for e-shops; breaches of Act No. 424/2023 Coll. were identified in 10 of these inspections.</w:t>
      </w:r>
    </w:p>
    <w:p w14:paraId="4194111F" w14:textId="77777777" w:rsidR="00546B88" w:rsidRPr="00546B88" w:rsidRDefault="00546B88" w:rsidP="00546B88">
      <w:pPr>
        <w:jc w:val="both"/>
        <w:rPr>
          <w:rFonts w:ascii="Arial" w:hAnsi="Arial" w:cs="Arial"/>
          <w:sz w:val="20"/>
          <w:szCs w:val="20"/>
          <w:lang w:val="en-GB"/>
        </w:rPr>
      </w:pPr>
      <w:r w:rsidRPr="00546B88">
        <w:rPr>
          <w:rFonts w:ascii="Arial" w:hAnsi="Arial" w:cs="Arial"/>
          <w:b/>
          <w:bCs/>
          <w:sz w:val="20"/>
          <w:szCs w:val="20"/>
          <w:lang w:val="en-GB"/>
        </w:rPr>
        <w:t>Based on breaches of legal regulations falling within the CTIA’s surveillance scope</w:t>
      </w:r>
      <w:r w:rsidRPr="00546B88">
        <w:rPr>
          <w:rFonts w:ascii="Arial" w:hAnsi="Arial" w:cs="Arial"/>
          <w:sz w:val="20"/>
          <w:szCs w:val="20"/>
          <w:lang w:val="en-GB"/>
        </w:rPr>
        <w:t xml:space="preserve">, identified within the inspection activity, </w:t>
      </w:r>
      <w:r w:rsidRPr="00546B88">
        <w:rPr>
          <w:rFonts w:ascii="Arial" w:hAnsi="Arial" w:cs="Arial"/>
          <w:b/>
          <w:bCs/>
          <w:sz w:val="20"/>
          <w:szCs w:val="20"/>
          <w:lang w:val="en-GB"/>
        </w:rPr>
        <w:t>a total of 159 fines, amounting to 4,878,500 CZK, became legally enforceable</w:t>
      </w:r>
      <w:r w:rsidRPr="00546B88">
        <w:rPr>
          <w:rFonts w:ascii="Arial" w:hAnsi="Arial" w:cs="Arial"/>
          <w:sz w:val="20"/>
          <w:szCs w:val="20"/>
          <w:lang w:val="en-GB"/>
        </w:rPr>
        <w:t xml:space="preserve"> in the second quarter.</w:t>
      </w:r>
    </w:p>
    <w:p w14:paraId="68619B17"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Inspections of e-shops are among the most complex in terms of both the time required and the specialist expertise needed from inspectors.</w:t>
      </w:r>
    </w:p>
    <w:p w14:paraId="0387B07A"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 xml:space="preserve">The </w:t>
      </w:r>
      <w:proofErr w:type="gramStart"/>
      <w:r w:rsidRPr="00546B88">
        <w:rPr>
          <w:rFonts w:ascii="Arial" w:hAnsi="Arial" w:cs="Arial"/>
          <w:sz w:val="20"/>
          <w:szCs w:val="20"/>
          <w:lang w:val="en-GB"/>
        </w:rPr>
        <w:t>aforementioned ratio</w:t>
      </w:r>
      <w:proofErr w:type="gramEnd"/>
      <w:r w:rsidRPr="00546B88">
        <w:rPr>
          <w:rFonts w:ascii="Arial" w:hAnsi="Arial" w:cs="Arial"/>
          <w:sz w:val="20"/>
          <w:szCs w:val="20"/>
          <w:lang w:val="en-GB"/>
        </w:rPr>
        <w:t xml:space="preserve"> of inspections to detected breaches of legal regulations must be viewed in the context of the system for selecting specific e-shops for inspection – based on an initial screening, the Czech Trade Inspection Authority focuses on e-shops that are likely to be in breach of their operators’ legal obligations. Inspections are carried out</w:t>
      </w:r>
      <w:r w:rsidRPr="00546B88">
        <w:rPr>
          <w:rFonts w:ascii="Arial" w:hAnsi="Arial" w:cs="Arial"/>
          <w:sz w:val="20"/>
          <w:szCs w:val="20"/>
          <w:lang w:val="en-GB"/>
        </w:rPr>
        <w:br/>
        <w:t>based on prior indications of breaches of legal regulations, whether following external complaints, or based on the Authority’s own investigations and previous inspection activities.</w:t>
      </w:r>
    </w:p>
    <w:p w14:paraId="0789FA1C"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The results of the inspections therefore primarily provide information on the extent to which legal obligations are being met by traders in respect of whom specific risk indicators have been identified. The findings from inspections in the second quarter confirm persistent shortcomings, particularly in relation to the provision of pre-contractual information, the exercise of rights arising from defective performance, and the right to withdraw from a contract.</w:t>
      </w:r>
    </w:p>
    <w:p w14:paraId="534CCA14" w14:textId="77777777" w:rsidR="00546B88" w:rsidRPr="00546B88" w:rsidRDefault="00546B88" w:rsidP="00546B88">
      <w:pPr>
        <w:jc w:val="both"/>
        <w:rPr>
          <w:rFonts w:ascii="Arial" w:hAnsi="Arial" w:cs="Arial"/>
          <w:sz w:val="20"/>
          <w:szCs w:val="20"/>
          <w:lang w:val="en-GB"/>
        </w:rPr>
      </w:pPr>
      <w:r w:rsidRPr="00546B88">
        <w:rPr>
          <w:rFonts w:ascii="Arial" w:hAnsi="Arial" w:cs="Arial"/>
          <w:sz w:val="20"/>
          <w:szCs w:val="20"/>
          <w:lang w:val="en-GB"/>
        </w:rPr>
        <w:t>These findings also confirm the need for systematic market surveillance, which is evolving dynamically and giving rise to new business models as well as new risks for consumers. The monitoring of the online environment will therefore remain one of the CTIA’s priorities in the coming period.</w:t>
      </w:r>
    </w:p>
    <w:p w14:paraId="43F14D2A" w14:textId="5BC32A12" w:rsidR="00546B88" w:rsidRPr="00546B88" w:rsidRDefault="00546B88" w:rsidP="00546B88">
      <w:pPr>
        <w:jc w:val="both"/>
        <w:rPr>
          <w:rFonts w:ascii="Arial" w:hAnsi="Arial" w:cs="Arial"/>
          <w:sz w:val="20"/>
          <w:szCs w:val="20"/>
        </w:rPr>
      </w:pPr>
      <w:r w:rsidRPr="00546B88">
        <w:rPr>
          <w:rFonts w:ascii="Arial" w:hAnsi="Arial" w:cs="Arial"/>
          <w:sz w:val="20"/>
          <w:szCs w:val="20"/>
          <w:lang w:val="en-GB"/>
        </w:rPr>
        <w:t xml:space="preserve">Attention is also being paid to inspections of online marketplaces, operated </w:t>
      </w:r>
      <w:proofErr w:type="gramStart"/>
      <w:r w:rsidRPr="00546B88">
        <w:rPr>
          <w:rFonts w:ascii="Arial" w:hAnsi="Arial" w:cs="Arial"/>
          <w:sz w:val="20"/>
          <w:szCs w:val="20"/>
          <w:lang w:val="en-GB"/>
        </w:rPr>
        <w:t>in particular by</w:t>
      </w:r>
      <w:proofErr w:type="gramEnd"/>
      <w:r w:rsidRPr="00546B88">
        <w:rPr>
          <w:rFonts w:ascii="Arial" w:hAnsi="Arial" w:cs="Arial"/>
          <w:sz w:val="20"/>
          <w:szCs w:val="20"/>
          <w:lang w:val="en-GB"/>
        </w:rPr>
        <w:t xml:space="preserve"> entities based in other EU Member States or in third countries. The specific features and results of these inspections are the subject of a separate evaluation</w:t>
      </w:r>
      <w:r>
        <w:rPr>
          <w:rFonts w:ascii="Arial" w:hAnsi="Arial" w:cs="Arial"/>
          <w:sz w:val="20"/>
          <w:szCs w:val="20"/>
        </w:rPr>
        <w:t>.</w:t>
      </w:r>
    </w:p>
    <w:p w14:paraId="71C7039D" w14:textId="2FCA6239" w:rsidR="000B6DD7" w:rsidRDefault="00667289" w:rsidP="00667289">
      <w:pPr>
        <w:jc w:val="both"/>
        <w:rPr>
          <w:rFonts w:ascii="Arial" w:hAnsi="Arial" w:cs="Arial"/>
          <w:sz w:val="20"/>
          <w:szCs w:val="20"/>
        </w:rPr>
      </w:pPr>
      <w:r w:rsidRPr="00667289">
        <w:rPr>
          <w:rFonts w:ascii="Arial" w:hAnsi="Arial" w:cs="Arial"/>
          <w:sz w:val="20"/>
          <w:szCs w:val="20"/>
        </w:rPr>
        <w:t>.</w:t>
      </w:r>
    </w:p>
    <w:p w14:paraId="29EED2AF" w14:textId="77777777" w:rsidR="00111A26" w:rsidRDefault="00111A26" w:rsidP="00111A26">
      <w:pPr>
        <w:jc w:val="both"/>
        <w:rPr>
          <w:rFonts w:ascii="Arial" w:hAnsi="Arial" w:cs="Arial"/>
          <w:sz w:val="20"/>
          <w:szCs w:val="20"/>
        </w:rPr>
      </w:pPr>
    </w:p>
    <w:p w14:paraId="00BB31F6" w14:textId="77777777" w:rsidR="00AE4B4B" w:rsidRPr="00916C41" w:rsidRDefault="00AE4B4B" w:rsidP="00AE4B4B">
      <w:pPr>
        <w:jc w:val="both"/>
        <w:rPr>
          <w:rFonts w:ascii="Arial" w:hAnsi="Arial" w:cs="Arial"/>
          <w:sz w:val="20"/>
          <w:szCs w:val="20"/>
        </w:rPr>
      </w:pPr>
    </w:p>
    <w:p w14:paraId="6BDCC94B" w14:textId="77777777" w:rsidR="00AE4B4B" w:rsidRPr="00D33294" w:rsidRDefault="00AE4B4B" w:rsidP="00D33294">
      <w:pPr>
        <w:jc w:val="both"/>
        <w:rPr>
          <w:rFonts w:ascii="Arial" w:hAnsi="Arial" w:cs="Arial"/>
          <w:sz w:val="20"/>
          <w:szCs w:val="20"/>
        </w:rPr>
      </w:pPr>
    </w:p>
    <w:p w14:paraId="109F1DBB" w14:textId="77777777" w:rsidR="00D33294" w:rsidRPr="00D33294" w:rsidRDefault="00D33294" w:rsidP="00D33294">
      <w:pPr>
        <w:jc w:val="both"/>
        <w:rPr>
          <w:rFonts w:ascii="Arial" w:hAnsi="Arial" w:cs="Arial"/>
          <w:sz w:val="20"/>
          <w:szCs w:val="20"/>
        </w:rPr>
      </w:pPr>
    </w:p>
    <w:p w14:paraId="24EDA474" w14:textId="2EA0C5A5" w:rsidR="00DE03C1" w:rsidRPr="007E298F" w:rsidRDefault="00DE03C1" w:rsidP="007E298F">
      <w:pPr>
        <w:spacing w:line="240" w:lineRule="auto"/>
        <w:jc w:val="both"/>
        <w:rPr>
          <w:rFonts w:ascii="Arial" w:hAnsi="Arial" w:cs="Arial"/>
          <w:sz w:val="20"/>
          <w:szCs w:val="20"/>
        </w:rPr>
      </w:pPr>
    </w:p>
    <w:sectPr w:rsidR="00DE03C1" w:rsidRPr="007E298F"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9231E" w14:textId="77777777" w:rsidR="00274ABA" w:rsidRDefault="00274ABA" w:rsidP="00807D68">
      <w:pPr>
        <w:spacing w:after="0" w:line="240" w:lineRule="auto"/>
      </w:pPr>
      <w:r>
        <w:separator/>
      </w:r>
    </w:p>
  </w:endnote>
  <w:endnote w:type="continuationSeparator" w:id="0">
    <w:p w14:paraId="42399B95" w14:textId="77777777" w:rsidR="00274ABA" w:rsidRDefault="00274ABA"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349D" w14:textId="77777777" w:rsidR="003C26AF" w:rsidRPr="000B3C18" w:rsidRDefault="003C26AF" w:rsidP="003C26AF">
    <w:pPr>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4803957F" wp14:editId="4C8AF770">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732F5D21" w14:textId="77777777" w:rsidR="003C26AF" w:rsidRPr="007F2BC4" w:rsidRDefault="003C26AF" w:rsidP="003C26AF">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4803957F"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732F5D21" w14:textId="77777777" w:rsidR="003C26AF" w:rsidRPr="007F2BC4" w:rsidRDefault="003C26AF" w:rsidP="003C26AF">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0A435669" wp14:editId="5456C200">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7B14BD83" w14:textId="77777777" w:rsidR="003C26AF" w:rsidRPr="00DC6D14" w:rsidRDefault="003C26AF" w:rsidP="003C26AF">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0A435669"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7B14BD83" w14:textId="77777777" w:rsidR="003C26AF" w:rsidRPr="00DC6D14" w:rsidRDefault="003C26AF" w:rsidP="003C26AF">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p>
  <w:p w14:paraId="2E86EAD4" w14:textId="0937ADD0" w:rsidR="00F34A6A" w:rsidRPr="003C26AF" w:rsidRDefault="003C26AF" w:rsidP="003C26AF">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C1FC" w14:textId="77777777" w:rsidR="00274ABA" w:rsidRDefault="00274ABA" w:rsidP="00807D68">
      <w:pPr>
        <w:spacing w:after="0" w:line="240" w:lineRule="auto"/>
      </w:pPr>
      <w:r>
        <w:separator/>
      </w:r>
    </w:p>
  </w:footnote>
  <w:footnote w:type="continuationSeparator" w:id="0">
    <w:p w14:paraId="1FB48FD0" w14:textId="77777777" w:rsidR="00274ABA" w:rsidRDefault="00274ABA"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E4C"/>
    <w:multiLevelType w:val="hybridMultilevel"/>
    <w:tmpl w:val="034A8CE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361A67"/>
    <w:multiLevelType w:val="multilevel"/>
    <w:tmpl w:val="8AAA12AC"/>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3B846E97"/>
    <w:multiLevelType w:val="hybridMultilevel"/>
    <w:tmpl w:val="B97C54AC"/>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1322A06"/>
    <w:multiLevelType w:val="hybridMultilevel"/>
    <w:tmpl w:val="BFA22E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15D655A"/>
    <w:multiLevelType w:val="hybridMultilevel"/>
    <w:tmpl w:val="EBF25C0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3CF14BD"/>
    <w:multiLevelType w:val="hybridMultilevel"/>
    <w:tmpl w:val="897273A6"/>
    <w:lvl w:ilvl="0" w:tplc="C8B0BBF2">
      <w:start w:val="2"/>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36295757">
    <w:abstractNumId w:val="0"/>
  </w:num>
  <w:num w:numId="2" w16cid:durableId="1880124258">
    <w:abstractNumId w:val="2"/>
  </w:num>
  <w:num w:numId="3" w16cid:durableId="353305848">
    <w:abstractNumId w:val="5"/>
  </w:num>
  <w:num w:numId="4" w16cid:durableId="534931515">
    <w:abstractNumId w:val="4"/>
  </w:num>
  <w:num w:numId="5" w16cid:durableId="351617091">
    <w:abstractNumId w:val="3"/>
  </w:num>
  <w:num w:numId="6" w16cid:durableId="1345595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7B29"/>
    <w:rsid w:val="00024933"/>
    <w:rsid w:val="00026401"/>
    <w:rsid w:val="00042DF0"/>
    <w:rsid w:val="00056E6A"/>
    <w:rsid w:val="00062220"/>
    <w:rsid w:val="000702D9"/>
    <w:rsid w:val="000733BE"/>
    <w:rsid w:val="00087ADB"/>
    <w:rsid w:val="000951C5"/>
    <w:rsid w:val="000A4C7F"/>
    <w:rsid w:val="000B0F7F"/>
    <w:rsid w:val="000B3C18"/>
    <w:rsid w:val="000B6DD7"/>
    <w:rsid w:val="000D0B8C"/>
    <w:rsid w:val="000D203E"/>
    <w:rsid w:val="000E136A"/>
    <w:rsid w:val="000F076F"/>
    <w:rsid w:val="000F2ACA"/>
    <w:rsid w:val="00104460"/>
    <w:rsid w:val="001044D4"/>
    <w:rsid w:val="00105DFE"/>
    <w:rsid w:val="00111A26"/>
    <w:rsid w:val="0013165B"/>
    <w:rsid w:val="001472E1"/>
    <w:rsid w:val="00152918"/>
    <w:rsid w:val="00161A6B"/>
    <w:rsid w:val="00164388"/>
    <w:rsid w:val="0018640D"/>
    <w:rsid w:val="001925E4"/>
    <w:rsid w:val="001B6BD6"/>
    <w:rsid w:val="001C2627"/>
    <w:rsid w:val="001C2E88"/>
    <w:rsid w:val="001D0E07"/>
    <w:rsid w:val="001D53E4"/>
    <w:rsid w:val="001F2C8A"/>
    <w:rsid w:val="00225F02"/>
    <w:rsid w:val="00243D9A"/>
    <w:rsid w:val="00250AA3"/>
    <w:rsid w:val="002562B6"/>
    <w:rsid w:val="002716CF"/>
    <w:rsid w:val="00274ABA"/>
    <w:rsid w:val="00282106"/>
    <w:rsid w:val="002A70AA"/>
    <w:rsid w:val="002C2749"/>
    <w:rsid w:val="002C374E"/>
    <w:rsid w:val="003461B6"/>
    <w:rsid w:val="00350179"/>
    <w:rsid w:val="00354693"/>
    <w:rsid w:val="003719C4"/>
    <w:rsid w:val="003A387B"/>
    <w:rsid w:val="003A7A4F"/>
    <w:rsid w:val="003C0A5C"/>
    <w:rsid w:val="003C26AF"/>
    <w:rsid w:val="003C4362"/>
    <w:rsid w:val="003E1880"/>
    <w:rsid w:val="003E3B85"/>
    <w:rsid w:val="004273D1"/>
    <w:rsid w:val="00432A70"/>
    <w:rsid w:val="0046373B"/>
    <w:rsid w:val="00483AC6"/>
    <w:rsid w:val="00494ACB"/>
    <w:rsid w:val="004D73ED"/>
    <w:rsid w:val="004E1F21"/>
    <w:rsid w:val="004F04FD"/>
    <w:rsid w:val="004F3AA9"/>
    <w:rsid w:val="00503DA3"/>
    <w:rsid w:val="00537597"/>
    <w:rsid w:val="00546B88"/>
    <w:rsid w:val="00550590"/>
    <w:rsid w:val="005511DC"/>
    <w:rsid w:val="00572CFD"/>
    <w:rsid w:val="00577B57"/>
    <w:rsid w:val="00586068"/>
    <w:rsid w:val="00592C1D"/>
    <w:rsid w:val="00594EEA"/>
    <w:rsid w:val="005A0FA4"/>
    <w:rsid w:val="005A3A49"/>
    <w:rsid w:val="005E2454"/>
    <w:rsid w:val="005F776A"/>
    <w:rsid w:val="0061127C"/>
    <w:rsid w:val="0061538D"/>
    <w:rsid w:val="00653A86"/>
    <w:rsid w:val="00663C7B"/>
    <w:rsid w:val="00667289"/>
    <w:rsid w:val="006750B6"/>
    <w:rsid w:val="006753FB"/>
    <w:rsid w:val="006859D0"/>
    <w:rsid w:val="00693113"/>
    <w:rsid w:val="00695914"/>
    <w:rsid w:val="006A074A"/>
    <w:rsid w:val="006B1818"/>
    <w:rsid w:val="006D29C2"/>
    <w:rsid w:val="006D3910"/>
    <w:rsid w:val="00703606"/>
    <w:rsid w:val="00735C36"/>
    <w:rsid w:val="00784FBE"/>
    <w:rsid w:val="007A347B"/>
    <w:rsid w:val="007B3DD2"/>
    <w:rsid w:val="007C3195"/>
    <w:rsid w:val="007C40CF"/>
    <w:rsid w:val="007C59C9"/>
    <w:rsid w:val="007D00B2"/>
    <w:rsid w:val="007E237F"/>
    <w:rsid w:val="007E298F"/>
    <w:rsid w:val="007E31D7"/>
    <w:rsid w:val="008078D2"/>
    <w:rsid w:val="00807D68"/>
    <w:rsid w:val="00823D18"/>
    <w:rsid w:val="00840C70"/>
    <w:rsid w:val="008469D2"/>
    <w:rsid w:val="00882F53"/>
    <w:rsid w:val="00894DCB"/>
    <w:rsid w:val="00895319"/>
    <w:rsid w:val="008A1E51"/>
    <w:rsid w:val="008D0293"/>
    <w:rsid w:val="008D3C53"/>
    <w:rsid w:val="008D5E3F"/>
    <w:rsid w:val="008E05DC"/>
    <w:rsid w:val="008F25EA"/>
    <w:rsid w:val="0090186A"/>
    <w:rsid w:val="0090767D"/>
    <w:rsid w:val="00917CBB"/>
    <w:rsid w:val="0092339C"/>
    <w:rsid w:val="00940C0B"/>
    <w:rsid w:val="00952679"/>
    <w:rsid w:val="009528C7"/>
    <w:rsid w:val="00955DA0"/>
    <w:rsid w:val="00970F06"/>
    <w:rsid w:val="00974AF4"/>
    <w:rsid w:val="009A3845"/>
    <w:rsid w:val="009A6325"/>
    <w:rsid w:val="009B17C2"/>
    <w:rsid w:val="009B4A35"/>
    <w:rsid w:val="009D7A78"/>
    <w:rsid w:val="009E32D6"/>
    <w:rsid w:val="009E49E4"/>
    <w:rsid w:val="009F0A71"/>
    <w:rsid w:val="009F2D9C"/>
    <w:rsid w:val="009F6A8D"/>
    <w:rsid w:val="00A24583"/>
    <w:rsid w:val="00A549E6"/>
    <w:rsid w:val="00A57931"/>
    <w:rsid w:val="00A579E1"/>
    <w:rsid w:val="00A95A44"/>
    <w:rsid w:val="00AA1743"/>
    <w:rsid w:val="00AA2AAE"/>
    <w:rsid w:val="00AD2EE9"/>
    <w:rsid w:val="00AD5B30"/>
    <w:rsid w:val="00AE4B4B"/>
    <w:rsid w:val="00AF2B4F"/>
    <w:rsid w:val="00AF4646"/>
    <w:rsid w:val="00B052C1"/>
    <w:rsid w:val="00B12C71"/>
    <w:rsid w:val="00B40171"/>
    <w:rsid w:val="00B44F4B"/>
    <w:rsid w:val="00B53039"/>
    <w:rsid w:val="00B61ACD"/>
    <w:rsid w:val="00B91627"/>
    <w:rsid w:val="00BA04BC"/>
    <w:rsid w:val="00BC3FF5"/>
    <w:rsid w:val="00BE29F2"/>
    <w:rsid w:val="00C120F1"/>
    <w:rsid w:val="00C30977"/>
    <w:rsid w:val="00C319E2"/>
    <w:rsid w:val="00C64499"/>
    <w:rsid w:val="00C65634"/>
    <w:rsid w:val="00C74CAF"/>
    <w:rsid w:val="00C96835"/>
    <w:rsid w:val="00C97D46"/>
    <w:rsid w:val="00CA6CC6"/>
    <w:rsid w:val="00CD21E6"/>
    <w:rsid w:val="00CE40CA"/>
    <w:rsid w:val="00CE5A4B"/>
    <w:rsid w:val="00CF47FA"/>
    <w:rsid w:val="00D00046"/>
    <w:rsid w:val="00D02162"/>
    <w:rsid w:val="00D100A7"/>
    <w:rsid w:val="00D147B8"/>
    <w:rsid w:val="00D2152F"/>
    <w:rsid w:val="00D22718"/>
    <w:rsid w:val="00D33294"/>
    <w:rsid w:val="00D43AEE"/>
    <w:rsid w:val="00D62C92"/>
    <w:rsid w:val="00D66CD2"/>
    <w:rsid w:val="00D763A0"/>
    <w:rsid w:val="00D83191"/>
    <w:rsid w:val="00D87DC2"/>
    <w:rsid w:val="00D966A5"/>
    <w:rsid w:val="00DA51CF"/>
    <w:rsid w:val="00DA59B3"/>
    <w:rsid w:val="00DC5B7E"/>
    <w:rsid w:val="00DC7359"/>
    <w:rsid w:val="00DE03C1"/>
    <w:rsid w:val="00E0015A"/>
    <w:rsid w:val="00E01D17"/>
    <w:rsid w:val="00E04F9D"/>
    <w:rsid w:val="00E17BF0"/>
    <w:rsid w:val="00E26F19"/>
    <w:rsid w:val="00E3728D"/>
    <w:rsid w:val="00E446CC"/>
    <w:rsid w:val="00E70220"/>
    <w:rsid w:val="00E7177C"/>
    <w:rsid w:val="00E7550F"/>
    <w:rsid w:val="00E870C8"/>
    <w:rsid w:val="00E87981"/>
    <w:rsid w:val="00EA1D75"/>
    <w:rsid w:val="00EA7383"/>
    <w:rsid w:val="00EB0B4E"/>
    <w:rsid w:val="00EC1A31"/>
    <w:rsid w:val="00ED3FF5"/>
    <w:rsid w:val="00ED4CDF"/>
    <w:rsid w:val="00EF00D5"/>
    <w:rsid w:val="00F168AF"/>
    <w:rsid w:val="00F216CA"/>
    <w:rsid w:val="00F27E15"/>
    <w:rsid w:val="00F32765"/>
    <w:rsid w:val="00F34A6A"/>
    <w:rsid w:val="00F4039A"/>
    <w:rsid w:val="00F47FF0"/>
    <w:rsid w:val="00F55D33"/>
    <w:rsid w:val="00F70880"/>
    <w:rsid w:val="00F70EE8"/>
    <w:rsid w:val="00F92878"/>
    <w:rsid w:val="00F943BC"/>
    <w:rsid w:val="00FA2BCE"/>
    <w:rsid w:val="00FB4A53"/>
    <w:rsid w:val="00FC50C2"/>
    <w:rsid w:val="00FC5A25"/>
    <w:rsid w:val="00FD64A0"/>
    <w:rsid w:val="00FF364A"/>
    <w:rsid w:val="00FF39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next w:val="Normln"/>
    <w:link w:val="Nadpis3Char"/>
    <w:uiPriority w:val="9"/>
    <w:unhideWhenUsed/>
    <w:qFormat/>
    <w:rsid w:val="009B17C2"/>
    <w:pPr>
      <w:keepNext/>
      <w:keepLines/>
      <w:spacing w:before="120" w:after="240"/>
      <w:jc w:val="both"/>
      <w:outlineLvl w:val="2"/>
    </w:pPr>
    <w:rPr>
      <w:rFonts w:ascii="Arial" w:eastAsiaTheme="majorEastAsia" w:hAnsi="Arial" w:cstheme="majorBidi"/>
      <w:b/>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7E298F"/>
    <w:pPr>
      <w:spacing w:after="200" w:line="276" w:lineRule="auto"/>
      <w:ind w:left="720"/>
      <w:contextualSpacing/>
    </w:pPr>
    <w:rPr>
      <w:rFonts w:ascii="Calibri" w:eastAsia="Calibri" w:hAnsi="Calibri" w:cs="Times New Roman"/>
    </w:rPr>
  </w:style>
  <w:style w:type="character" w:styleId="PromnnHTML">
    <w:name w:val="HTML Variable"/>
    <w:uiPriority w:val="99"/>
    <w:unhideWhenUsed/>
    <w:rsid w:val="007E298F"/>
    <w:rPr>
      <w:i/>
      <w:iCs/>
    </w:rPr>
  </w:style>
  <w:style w:type="character" w:styleId="Odkaznakoment">
    <w:name w:val="annotation reference"/>
    <w:basedOn w:val="Standardnpsmoodstavce"/>
    <w:uiPriority w:val="99"/>
    <w:semiHidden/>
    <w:unhideWhenUsed/>
    <w:rsid w:val="009A3845"/>
    <w:rPr>
      <w:sz w:val="16"/>
      <w:szCs w:val="16"/>
    </w:rPr>
  </w:style>
  <w:style w:type="paragraph" w:styleId="Textkomente">
    <w:name w:val="annotation text"/>
    <w:basedOn w:val="Normln"/>
    <w:link w:val="TextkomenteChar"/>
    <w:uiPriority w:val="99"/>
    <w:unhideWhenUsed/>
    <w:rsid w:val="009A3845"/>
    <w:pPr>
      <w:spacing w:line="240" w:lineRule="auto"/>
    </w:pPr>
    <w:rPr>
      <w:sz w:val="20"/>
      <w:szCs w:val="20"/>
    </w:rPr>
  </w:style>
  <w:style w:type="character" w:customStyle="1" w:styleId="TextkomenteChar">
    <w:name w:val="Text komentáře Char"/>
    <w:basedOn w:val="Standardnpsmoodstavce"/>
    <w:link w:val="Textkomente"/>
    <w:uiPriority w:val="99"/>
    <w:rsid w:val="009A3845"/>
    <w:rPr>
      <w:sz w:val="20"/>
      <w:szCs w:val="20"/>
    </w:rPr>
  </w:style>
  <w:style w:type="paragraph" w:styleId="Pedmtkomente">
    <w:name w:val="annotation subject"/>
    <w:basedOn w:val="Textkomente"/>
    <w:next w:val="Textkomente"/>
    <w:link w:val="PedmtkomenteChar"/>
    <w:uiPriority w:val="99"/>
    <w:semiHidden/>
    <w:unhideWhenUsed/>
    <w:rsid w:val="009A3845"/>
    <w:rPr>
      <w:b/>
      <w:bCs/>
    </w:rPr>
  </w:style>
  <w:style w:type="character" w:customStyle="1" w:styleId="PedmtkomenteChar">
    <w:name w:val="Předmět komentáře Char"/>
    <w:basedOn w:val="TextkomenteChar"/>
    <w:link w:val="Pedmtkomente"/>
    <w:uiPriority w:val="99"/>
    <w:semiHidden/>
    <w:rsid w:val="009A3845"/>
    <w:rPr>
      <w:b/>
      <w:bCs/>
      <w:sz w:val="20"/>
      <w:szCs w:val="20"/>
    </w:rPr>
  </w:style>
  <w:style w:type="paragraph" w:styleId="Revize">
    <w:name w:val="Revision"/>
    <w:hidden/>
    <w:uiPriority w:val="99"/>
    <w:semiHidden/>
    <w:rsid w:val="003461B6"/>
    <w:pPr>
      <w:spacing w:after="0" w:line="240" w:lineRule="auto"/>
    </w:pPr>
  </w:style>
  <w:style w:type="character" w:customStyle="1" w:styleId="Nadpis3Char">
    <w:name w:val="Nadpis 3 Char"/>
    <w:basedOn w:val="Standardnpsmoodstavce"/>
    <w:link w:val="Nadpis3"/>
    <w:uiPriority w:val="9"/>
    <w:rsid w:val="009B17C2"/>
    <w:rPr>
      <w:rFonts w:ascii="Arial" w:eastAsiaTheme="majorEastAsia" w:hAnsi="Arial"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72584">
      <w:bodyDiv w:val="1"/>
      <w:marLeft w:val="0"/>
      <w:marRight w:val="0"/>
      <w:marTop w:val="0"/>
      <w:marBottom w:val="0"/>
      <w:divBdr>
        <w:top w:val="none" w:sz="0" w:space="0" w:color="auto"/>
        <w:left w:val="none" w:sz="0" w:space="0" w:color="auto"/>
        <w:bottom w:val="none" w:sz="0" w:space="0" w:color="auto"/>
        <w:right w:val="none" w:sz="0" w:space="0" w:color="auto"/>
      </w:divBdr>
      <w:divsChild>
        <w:div w:id="706024423">
          <w:marLeft w:val="0"/>
          <w:marRight w:val="0"/>
          <w:marTop w:val="0"/>
          <w:marBottom w:val="0"/>
          <w:divBdr>
            <w:top w:val="none" w:sz="0" w:space="0" w:color="auto"/>
            <w:left w:val="none" w:sz="0" w:space="0" w:color="auto"/>
            <w:bottom w:val="none" w:sz="0" w:space="0" w:color="auto"/>
            <w:right w:val="none" w:sz="0" w:space="0" w:color="auto"/>
          </w:divBdr>
        </w:div>
      </w:divsChild>
    </w:div>
    <w:div w:id="489030216">
      <w:bodyDiv w:val="1"/>
      <w:marLeft w:val="0"/>
      <w:marRight w:val="0"/>
      <w:marTop w:val="0"/>
      <w:marBottom w:val="0"/>
      <w:divBdr>
        <w:top w:val="none" w:sz="0" w:space="0" w:color="auto"/>
        <w:left w:val="none" w:sz="0" w:space="0" w:color="auto"/>
        <w:bottom w:val="none" w:sz="0" w:space="0" w:color="auto"/>
        <w:right w:val="none" w:sz="0" w:space="0" w:color="auto"/>
      </w:divBdr>
      <w:divsChild>
        <w:div w:id="808208833">
          <w:marLeft w:val="0"/>
          <w:marRight w:val="0"/>
          <w:marTop w:val="0"/>
          <w:marBottom w:val="0"/>
          <w:divBdr>
            <w:top w:val="none" w:sz="0" w:space="0" w:color="auto"/>
            <w:left w:val="none" w:sz="0" w:space="0" w:color="auto"/>
            <w:bottom w:val="none" w:sz="0" w:space="0" w:color="auto"/>
            <w:right w:val="none" w:sz="0" w:space="0" w:color="auto"/>
          </w:divBdr>
        </w:div>
      </w:divsChild>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1059</Words>
  <Characters>6251</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27</cp:revision>
  <cp:lastPrinted>2025-03-03T13:59:00Z</cp:lastPrinted>
  <dcterms:created xsi:type="dcterms:W3CDTF">2026-07-27T14:55:00Z</dcterms:created>
  <dcterms:modified xsi:type="dcterms:W3CDTF">2026-10-12T09:44:00Z</dcterms:modified>
</cp:coreProperties>
</file>