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F5D0" w14:textId="77777777" w:rsidR="00AC7EE3" w:rsidRPr="00970F06" w:rsidRDefault="00AC7EE3" w:rsidP="00AC7EE3">
      <w:pPr>
        <w:spacing w:before="240"/>
        <w:jc w:val="right"/>
        <w:rPr>
          <w:rFonts w:ascii="Arial" w:hAnsi="Arial" w:cs="Arial"/>
          <w:color w:val="2658A5"/>
          <w:sz w:val="48"/>
          <w:szCs w:val="48"/>
        </w:rPr>
      </w:pPr>
      <w:r w:rsidRPr="00252EB5">
        <w:rPr>
          <w:rFonts w:ascii="Arial" w:eastAsia="Calibri" w:hAnsi="Arial" w:cs="Arial"/>
          <w:b/>
          <w:bCs/>
          <w:sz w:val="20"/>
          <w:szCs w:val="20"/>
          <w:lang w:val="en-GB"/>
        </w:rPr>
        <w:drawing>
          <wp:anchor distT="0" distB="0" distL="114300" distR="114300" simplePos="0" relativeHeight="251659264" behindDoc="0" locked="0" layoutInCell="1" allowOverlap="1" wp14:anchorId="159331F0" wp14:editId="4AEF83F3">
            <wp:simplePos x="0" y="0"/>
            <wp:positionH relativeFrom="margin">
              <wp:posOffset>0</wp:posOffset>
            </wp:positionH>
            <wp:positionV relativeFrom="paragraph">
              <wp:posOffset>56515</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2658A5"/>
          <w:sz w:val="48"/>
          <w:szCs w:val="48"/>
        </w:rPr>
        <w:t>PRESS RELEASE</w:t>
      </w:r>
    </w:p>
    <w:p w14:paraId="0022BE11" w14:textId="4FE24414" w:rsidR="003E3B85" w:rsidRDefault="003E3B85" w:rsidP="003E3B85">
      <w:pPr>
        <w:jc w:val="both"/>
        <w:rPr>
          <w:rFonts w:ascii="Montserrat" w:hAnsi="Montserrat"/>
          <w:sz w:val="20"/>
          <w:szCs w:val="20"/>
        </w:rPr>
      </w:pPr>
    </w:p>
    <w:p w14:paraId="77FD180F" w14:textId="77777777" w:rsidR="00594429" w:rsidRPr="00594429" w:rsidRDefault="00594429" w:rsidP="00594429">
      <w:pPr>
        <w:pStyle w:val="Normlnweb"/>
        <w:jc w:val="both"/>
        <w:rPr>
          <w:rFonts w:ascii="Arial" w:eastAsiaTheme="minorHAnsi" w:hAnsi="Arial" w:cs="Arial"/>
          <w:b/>
          <w:bCs/>
          <w:color w:val="2658A5"/>
          <w:sz w:val="32"/>
          <w:szCs w:val="32"/>
          <w:lang w:val="en-GB" w:eastAsia="en-US"/>
        </w:rPr>
      </w:pPr>
      <w:r w:rsidRPr="00594429">
        <w:rPr>
          <w:rFonts w:ascii="Arial" w:eastAsiaTheme="minorHAnsi" w:hAnsi="Arial" w:cs="Arial"/>
          <w:b/>
          <w:bCs/>
          <w:color w:val="2658A5"/>
          <w:sz w:val="32"/>
          <w:szCs w:val="32"/>
          <w:lang w:eastAsia="en-US"/>
        </w:rPr>
        <w:t xml:space="preserve">CTIA </w:t>
      </w:r>
      <w:r w:rsidRPr="00594429">
        <w:rPr>
          <w:rFonts w:ascii="Arial" w:eastAsiaTheme="minorHAnsi" w:hAnsi="Arial" w:cs="Arial"/>
          <w:b/>
          <w:bCs/>
          <w:color w:val="2658A5"/>
          <w:sz w:val="32"/>
          <w:szCs w:val="32"/>
          <w:lang w:val="en-GB" w:eastAsia="en-US"/>
        </w:rPr>
        <w:t>inspected compliance with the ban on the sale of alcohol and tobacco to minors: in almost half of the inspections with underage hired under-aged purchasers, alcohol was sold or served to a person under the age of eighteen</w:t>
      </w:r>
    </w:p>
    <w:p w14:paraId="439100B8"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(Prague, 14 August 2026) </w:t>
      </w:r>
      <w:r w:rsidRPr="00594429">
        <w:rPr>
          <w:rFonts w:ascii="Arial" w:eastAsia="Calibri" w:hAnsi="Arial" w:cs="Arial"/>
          <w:b/>
          <w:bCs/>
          <w:sz w:val="20"/>
          <w:szCs w:val="20"/>
          <w:lang w:val="en-GB"/>
        </w:rPr>
        <w:t>During the second quarter of this year, the Czech Trade Inspection Authority continued its inspection activity to verify whether retailers comply with Act No. 65/2017 Coll., on Health Protection against the Harmful Effects of Drugs, Act No. 353/2003 Coll., on Excise Duties, Act No. 307/2013 Coll., on the Mandatory Labelling of Alcohol, and other legal requirements within the scope of its remit.</w:t>
      </w:r>
      <w:r w:rsidRPr="00594429">
        <w:rPr>
          <w:rFonts w:ascii="Arial" w:eastAsia="Calibri" w:hAnsi="Arial" w:cs="Arial"/>
          <w:sz w:val="20"/>
          <w:szCs w:val="20"/>
          <w:lang w:val="en-GB"/>
        </w:rPr>
        <w:t xml:space="preserve"> A total of 1,902 inspections were carried out, with irregularities found in 819 of them (i.e. 43.06% of the inspections carried out). The most serious finding was the sale of alcoholic beverages to persons under the age of 18, which was detected in 148 cases.</w:t>
      </w:r>
    </w:p>
    <w:p w14:paraId="2CD563B1"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The campaign focused primarily on compliance with legal regulations governing the supply and sale of alcoholic beverages and tobacco products, smoking accessories, herbal products intended for smoking, e-cigarettes, tobacco-free nicotine pouches and nicotine-containing products.</w:t>
      </w:r>
    </w:p>
    <w:p w14:paraId="115E56C5" w14:textId="1C10251A"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Between 1 April and 30 June 2026</w:t>
      </w:r>
      <w:r w:rsidRPr="00594429">
        <w:rPr>
          <w:rFonts w:ascii="Arial" w:eastAsia="Calibri" w:hAnsi="Arial" w:cs="Arial"/>
          <w:b/>
          <w:bCs/>
          <w:sz w:val="20"/>
          <w:szCs w:val="20"/>
          <w:lang w:val="en-GB"/>
        </w:rPr>
        <w:t>, a total of 1,902 inspections were carried out, of which almost half (819) resulted in a finding of non-compliance (43.06%). Breaches of the laws governing the supply</w:t>
      </w:r>
      <w:r w:rsidRPr="00594429">
        <w:rPr>
          <w:rFonts w:ascii="Arial" w:eastAsia="Calibri" w:hAnsi="Arial" w:cs="Arial"/>
          <w:sz w:val="20"/>
          <w:szCs w:val="20"/>
          <w:lang w:val="en-GB"/>
        </w:rPr>
        <w:br/>
      </w:r>
      <w:r w:rsidRPr="00594429">
        <w:rPr>
          <w:rFonts w:ascii="Arial" w:eastAsia="Calibri" w:hAnsi="Arial" w:cs="Arial"/>
          <w:b/>
          <w:bCs/>
          <w:sz w:val="20"/>
          <w:szCs w:val="20"/>
          <w:lang w:val="en-GB"/>
        </w:rPr>
        <w:t>and sale of alcoholic beverages, tobacco and related products were identified</w:t>
      </w:r>
      <w:r w:rsidRPr="00594429">
        <w:rPr>
          <w:rFonts w:ascii="Arial" w:eastAsia="Calibri" w:hAnsi="Arial" w:cs="Arial"/>
          <w:sz w:val="20"/>
          <w:szCs w:val="20"/>
          <w:lang w:val="en-GB"/>
        </w:rPr>
        <w:br/>
      </w:r>
      <w:r w:rsidRPr="00594429">
        <w:rPr>
          <w:rFonts w:ascii="Arial" w:eastAsia="Calibri" w:hAnsi="Arial" w:cs="Arial"/>
          <w:b/>
          <w:bCs/>
          <w:sz w:val="20"/>
          <w:szCs w:val="20"/>
          <w:lang w:val="en-GB"/>
        </w:rPr>
        <w:t>in 201 inspections (10.57 per cent).</w:t>
      </w:r>
      <w:r w:rsidRPr="00594429">
        <w:rPr>
          <w:rFonts w:ascii="Arial" w:eastAsia="Calibri" w:hAnsi="Arial" w:cs="Arial"/>
          <w:sz w:val="20"/>
          <w:szCs w:val="20"/>
          <w:lang w:val="en-GB"/>
        </w:rPr>
        <w:t xml:space="preserve"> In </w:t>
      </w:r>
      <w:proofErr w:type="gramStart"/>
      <w:r w:rsidRPr="00594429">
        <w:rPr>
          <w:rFonts w:ascii="Arial" w:eastAsia="Calibri" w:hAnsi="Arial" w:cs="Arial"/>
          <w:sz w:val="20"/>
          <w:szCs w:val="20"/>
          <w:lang w:val="en-GB"/>
        </w:rPr>
        <w:t>a number of</w:t>
      </w:r>
      <w:proofErr w:type="gramEnd"/>
      <w:r w:rsidRPr="00594429">
        <w:rPr>
          <w:rFonts w:ascii="Arial" w:eastAsia="Calibri" w:hAnsi="Arial" w:cs="Arial"/>
          <w:sz w:val="20"/>
          <w:szCs w:val="20"/>
          <w:lang w:val="en-GB"/>
        </w:rPr>
        <w:t xml:space="preserve"> inspections, breaches of multiple laws or individual provisions were found simultaneously.</w:t>
      </w:r>
    </w:p>
    <w:p w14:paraId="6B337265"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Within the inspection activity, </w:t>
      </w:r>
      <w:r w:rsidRPr="00594429">
        <w:rPr>
          <w:rFonts w:ascii="Arial" w:eastAsia="Calibri" w:hAnsi="Arial" w:cs="Arial"/>
          <w:b/>
          <w:bCs/>
          <w:sz w:val="20"/>
          <w:szCs w:val="20"/>
          <w:lang w:val="en-GB"/>
        </w:rPr>
        <w:t>310 investigations involved the use of under-18s as test purchasers,</w:t>
      </w:r>
      <w:r w:rsidRPr="00594429">
        <w:rPr>
          <w:rFonts w:ascii="Arial" w:eastAsia="Calibri" w:hAnsi="Arial" w:cs="Arial"/>
          <w:sz w:val="20"/>
          <w:szCs w:val="20"/>
          <w:lang w:val="en-GB"/>
        </w:rPr>
        <w:t xml:space="preserve"> who carried out test purchases and whose participation was therefore essential to prove infringements of certain provisions of Act No. 65/2017 Coll. Furthermore, 160 inspections were carried out with the participation of the Czech Police, 88 inspections were carried out in cooperation with the Czech Customs Administration, 72 inspections in cooperation with regional public health authorities, 70 inspections together with inspectors from the State Agricultural and Food Inspection Authority, 27 inspections in cooperation with the Fire and Rescue Service of the Czech Republic, 20 inspections together with the staff of trade licensing offices, and 5 inspections with the participation of municipal police officers. Some inspections involved several state administrative bodies simultaneously; the findings from 7 inspections were subsequently referred to the competent state administrative authorities.</w:t>
      </w:r>
    </w:p>
    <w:p w14:paraId="2FB87AB0"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b/>
          <w:bCs/>
          <w:sz w:val="20"/>
          <w:szCs w:val="20"/>
          <w:lang w:val="en-GB"/>
        </w:rPr>
        <w:t>Infringements of any of the provisions of Act No. 65/2017 Coll., on the protection of health against the harmful effects of addictive substances, were identified in 233 cases. Of this number:</w:t>
      </w:r>
    </w:p>
    <w:p w14:paraId="53477E4A"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 </w:t>
      </w:r>
      <w:r w:rsidRPr="00594429">
        <w:rPr>
          <w:rFonts w:ascii="Arial" w:eastAsia="Calibri" w:hAnsi="Arial" w:cs="Arial"/>
          <w:b/>
          <w:bCs/>
          <w:sz w:val="20"/>
          <w:szCs w:val="20"/>
          <w:lang w:val="en-GB"/>
        </w:rPr>
        <w:t>In 148 cases, an infringement of the provisions of Section 11(5), prohibiting the sale or serving of alcoholic beverages to persons under the age of 18, was identified,</w:t>
      </w:r>
    </w:p>
    <w:p w14:paraId="78C4BA3E"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 </w:t>
      </w:r>
      <w:proofErr w:type="gramStart"/>
      <w:r w:rsidRPr="00594429">
        <w:rPr>
          <w:rFonts w:ascii="Arial" w:eastAsia="Calibri" w:hAnsi="Arial" w:cs="Arial"/>
          <w:sz w:val="20"/>
          <w:szCs w:val="20"/>
          <w:lang w:val="en-GB"/>
        </w:rPr>
        <w:t>in</w:t>
      </w:r>
      <w:proofErr w:type="gramEnd"/>
      <w:r w:rsidRPr="00594429">
        <w:rPr>
          <w:rFonts w:ascii="Arial" w:eastAsia="Calibri" w:hAnsi="Arial" w:cs="Arial"/>
          <w:sz w:val="20"/>
          <w:szCs w:val="20"/>
          <w:lang w:val="en-GB"/>
        </w:rPr>
        <w:t xml:space="preserve"> 28 cases, sellers at points of sale for tobacco products, smoking accessories, herbal products intended for smoking, e-cigarettes and tobacco-free nicotine pouches</w:t>
      </w:r>
    </w:p>
    <w:p w14:paraId="2E29C2CD"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and nicotine-containing products, failed to display a clearly visible notice to consumers prohibiting the sale of such goods to persons under the age of 18; or, where such a notice was displayed, it did not comply with the statutory requirements, i.e. it was not in Czech, in black block letters on a white background with a font size of at least 2 cm, thereby committing an infringement of Section 5(2),</w:t>
      </w:r>
    </w:p>
    <w:p w14:paraId="13230A11"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lastRenderedPageBreak/>
        <w:t>· in 25 cases, a breach of Section 13(1) was found, as retailers failed to display, at points of sale of alcoholic beverages, a clearly visible notice for consumers regarding the prohibition on the sale of such beverages to persons under the age of 18, or the notice was not presented in the form required by law, i.e. in the Czech language, in black block letters on a white background with a font size of at least 2 cm,</w:t>
      </w:r>
    </w:p>
    <w:p w14:paraId="4245EE9D"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 in 18 cases, a breach of Section 3(4) was found, as </w:t>
      </w:r>
      <w:r w:rsidRPr="00594429">
        <w:rPr>
          <w:rFonts w:ascii="Arial" w:eastAsia="Calibri" w:hAnsi="Arial" w:cs="Arial"/>
          <w:b/>
          <w:bCs/>
          <w:sz w:val="20"/>
          <w:szCs w:val="20"/>
          <w:lang w:val="en-GB"/>
        </w:rPr>
        <w:t xml:space="preserve">in 16 cases sellers breached the prohibition on selling or supplying tobacco products, herbal products intended for smoking, electronic cigarettes, tobacco-free nicotine pouches and/or nicotine-containing products to persons under the age of 18 </w:t>
      </w:r>
      <w:r w:rsidRPr="00594429">
        <w:rPr>
          <w:rFonts w:ascii="Arial" w:eastAsia="Calibri" w:hAnsi="Arial" w:cs="Arial"/>
          <w:sz w:val="20"/>
          <w:szCs w:val="20"/>
          <w:lang w:val="en-GB"/>
        </w:rPr>
        <w:t xml:space="preserve">and, in </w:t>
      </w:r>
      <w:r w:rsidRPr="00594429">
        <w:rPr>
          <w:rFonts w:ascii="Arial" w:eastAsia="Calibri" w:hAnsi="Arial" w:cs="Arial"/>
          <w:b/>
          <w:bCs/>
          <w:sz w:val="20"/>
          <w:szCs w:val="20"/>
          <w:lang w:val="en-GB"/>
        </w:rPr>
        <w:t>2 cases, they breached the prohibition on selling smoking accessories to persons under the age of 18,</w:t>
      </w:r>
    </w:p>
    <w:p w14:paraId="0FDFDEF8"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 </w:t>
      </w:r>
      <w:proofErr w:type="gramStart"/>
      <w:r w:rsidRPr="00594429">
        <w:rPr>
          <w:rFonts w:ascii="Arial" w:eastAsia="Calibri" w:hAnsi="Arial" w:cs="Arial"/>
          <w:sz w:val="20"/>
          <w:szCs w:val="20"/>
          <w:lang w:val="en-GB"/>
        </w:rPr>
        <w:t>in</w:t>
      </w:r>
      <w:proofErr w:type="gramEnd"/>
      <w:r w:rsidRPr="00594429">
        <w:rPr>
          <w:rFonts w:ascii="Arial" w:eastAsia="Calibri" w:hAnsi="Arial" w:cs="Arial"/>
          <w:sz w:val="20"/>
          <w:szCs w:val="20"/>
          <w:lang w:val="en-GB"/>
        </w:rPr>
        <w:t xml:space="preserve"> 6 cases, sellers failed to display tobacco products, smoking accessories, herbal products intended for smoking, electronic cigarettes and tobacco-free nicotine pouches in a designated area separate from the rest of the goods on offer, thereby causing a breach of Section 5(1),</w:t>
      </w:r>
    </w:p>
    <w:p w14:paraId="1A799315"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 in 2 cases, a breach of Section 3(3) was found, where retailers failed to ensure that the sale of tobacco products, smoking accessories, herbal products intended for smoking, e-cigarettes, tobacco-free nicotine pouches and nicotine-containing products via vending machines to persons under the age of 18 (the age of purchasers was not verified on the premises by a designated person), </w:t>
      </w:r>
    </w:p>
    <w:p w14:paraId="450C4EF1"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 </w:t>
      </w:r>
      <w:proofErr w:type="gramStart"/>
      <w:r w:rsidRPr="00594429">
        <w:rPr>
          <w:rFonts w:ascii="Arial" w:eastAsia="Calibri" w:hAnsi="Arial" w:cs="Arial"/>
          <w:sz w:val="20"/>
          <w:szCs w:val="20"/>
          <w:lang w:val="en-GB"/>
        </w:rPr>
        <w:t>infringements</w:t>
      </w:r>
      <w:proofErr w:type="gramEnd"/>
      <w:r w:rsidRPr="00594429">
        <w:rPr>
          <w:rFonts w:ascii="Arial" w:eastAsia="Calibri" w:hAnsi="Arial" w:cs="Arial"/>
          <w:sz w:val="20"/>
          <w:szCs w:val="20"/>
          <w:lang w:val="en-GB"/>
        </w:rPr>
        <w:t xml:space="preserve"> of other provisions of the Act on Health Protection against the Harmful Effects of Drugs were identified in a small number of cases.</w:t>
      </w:r>
    </w:p>
    <w:p w14:paraId="043D43E1"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b/>
          <w:bCs/>
          <w:sz w:val="20"/>
          <w:szCs w:val="20"/>
          <w:lang w:val="en-GB"/>
        </w:rPr>
        <w:t>A breach of Act No. 353/2003 Coll., on Excise Duties</w:t>
      </w:r>
      <w:r w:rsidRPr="00594429">
        <w:rPr>
          <w:rFonts w:ascii="Arial" w:eastAsia="Calibri" w:hAnsi="Arial" w:cs="Arial"/>
          <w:sz w:val="20"/>
          <w:szCs w:val="20"/>
          <w:lang w:val="en-GB"/>
        </w:rPr>
        <w:t xml:space="preserve">, was identified </w:t>
      </w:r>
      <w:r w:rsidRPr="00594429">
        <w:rPr>
          <w:rFonts w:ascii="Arial" w:eastAsia="Calibri" w:hAnsi="Arial" w:cs="Arial"/>
          <w:b/>
          <w:bCs/>
          <w:sz w:val="20"/>
          <w:szCs w:val="20"/>
          <w:lang w:val="en-GB"/>
        </w:rPr>
        <w:t>in one instance</w:t>
      </w:r>
      <w:r w:rsidRPr="00594429">
        <w:rPr>
          <w:rFonts w:ascii="Arial" w:eastAsia="Calibri" w:hAnsi="Arial" w:cs="Arial"/>
          <w:sz w:val="20"/>
          <w:szCs w:val="20"/>
          <w:lang w:val="en-GB"/>
        </w:rPr>
        <w:t>; specifically, this concerned a breach of Section 112, under which a legal entity or a self-employed individual may not sell cigarettes to the end consumer at a price higher than that stated on the tobacco tax stamp.</w:t>
      </w:r>
    </w:p>
    <w:p w14:paraId="3D61B76D" w14:textId="4852659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No breaches of Act No. 307/2013 Coll.</w:t>
      </w:r>
      <w:r w:rsidR="005A2329">
        <w:rPr>
          <w:rFonts w:ascii="Arial" w:eastAsia="Calibri" w:hAnsi="Arial" w:cs="Arial"/>
          <w:sz w:val="20"/>
          <w:szCs w:val="20"/>
          <w:lang w:val="en-GB"/>
        </w:rPr>
        <w:t xml:space="preserve"> </w:t>
      </w:r>
      <w:r w:rsidRPr="00594429">
        <w:rPr>
          <w:rFonts w:ascii="Arial" w:eastAsia="Calibri" w:hAnsi="Arial" w:cs="Arial"/>
          <w:sz w:val="20"/>
          <w:szCs w:val="20"/>
          <w:lang w:val="en-GB"/>
        </w:rPr>
        <w:t>on Mandatory Marking and Labelling of Alcohol, were identified during the period under review.</w:t>
      </w:r>
    </w:p>
    <w:p w14:paraId="68C69C46"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b/>
          <w:bCs/>
          <w:sz w:val="20"/>
          <w:szCs w:val="20"/>
          <w:lang w:val="en-GB"/>
        </w:rPr>
        <w:t>Breaches of Act No. 634/1992 Coll., on Consumer Protection</w:t>
      </w:r>
      <w:r w:rsidRPr="00594429">
        <w:rPr>
          <w:rFonts w:ascii="Arial" w:eastAsia="Calibri" w:hAnsi="Arial" w:cs="Arial"/>
          <w:sz w:val="20"/>
          <w:szCs w:val="20"/>
          <w:lang w:val="en-GB"/>
        </w:rPr>
        <w:t xml:space="preserve">, were identified </w:t>
      </w:r>
      <w:r w:rsidRPr="00594429">
        <w:rPr>
          <w:rFonts w:ascii="Arial" w:eastAsia="Calibri" w:hAnsi="Arial" w:cs="Arial"/>
          <w:b/>
          <w:bCs/>
          <w:sz w:val="20"/>
          <w:szCs w:val="20"/>
          <w:lang w:val="en-GB"/>
        </w:rPr>
        <w:t>in 757 cases</w:t>
      </w:r>
      <w:r w:rsidRPr="00594429">
        <w:rPr>
          <w:rFonts w:ascii="Arial" w:eastAsia="Calibri" w:hAnsi="Arial" w:cs="Arial"/>
          <w:sz w:val="20"/>
          <w:szCs w:val="20"/>
          <w:lang w:val="en-GB"/>
        </w:rPr>
        <w:t xml:space="preserve">. Most frequently, </w:t>
      </w:r>
      <w:r w:rsidRPr="00594429">
        <w:rPr>
          <w:rFonts w:ascii="Arial" w:eastAsia="Calibri" w:hAnsi="Arial" w:cs="Arial"/>
          <w:b/>
          <w:bCs/>
          <w:sz w:val="20"/>
          <w:szCs w:val="20"/>
          <w:lang w:val="en-GB"/>
        </w:rPr>
        <w:t xml:space="preserve">in 250 cases, sellers failed to inform consumers of the price of the products on offer </w:t>
      </w:r>
      <w:r w:rsidRPr="00594429">
        <w:rPr>
          <w:rFonts w:ascii="Arial" w:eastAsia="Calibri" w:hAnsi="Arial" w:cs="Arial"/>
          <w:sz w:val="20"/>
          <w:szCs w:val="20"/>
          <w:lang w:val="en-GB"/>
        </w:rPr>
        <w:t xml:space="preserve">and the services provided in accordance with pricing regulations, thereby </w:t>
      </w:r>
      <w:r w:rsidRPr="00594429">
        <w:rPr>
          <w:rFonts w:ascii="Arial" w:eastAsia="Calibri" w:hAnsi="Arial" w:cs="Arial"/>
          <w:b/>
          <w:bCs/>
          <w:sz w:val="20"/>
          <w:szCs w:val="20"/>
          <w:lang w:val="en-GB"/>
        </w:rPr>
        <w:t>breaching the provisions of Section 12</w:t>
      </w:r>
      <w:r w:rsidRPr="00594429">
        <w:rPr>
          <w:rFonts w:ascii="Arial" w:eastAsia="Calibri" w:hAnsi="Arial" w:cs="Arial"/>
          <w:sz w:val="20"/>
          <w:szCs w:val="20"/>
          <w:lang w:val="en-GB"/>
        </w:rPr>
        <w:t xml:space="preserve">. Furthermore, </w:t>
      </w:r>
      <w:r w:rsidRPr="00594429">
        <w:rPr>
          <w:rFonts w:ascii="Arial" w:eastAsia="Calibri" w:hAnsi="Arial" w:cs="Arial"/>
          <w:b/>
          <w:bCs/>
          <w:sz w:val="20"/>
          <w:szCs w:val="20"/>
          <w:lang w:val="en-GB"/>
        </w:rPr>
        <w:t>in 244 cases</w:t>
      </w:r>
      <w:r w:rsidRPr="00594429">
        <w:rPr>
          <w:rFonts w:ascii="Arial" w:eastAsia="Calibri" w:hAnsi="Arial" w:cs="Arial"/>
          <w:sz w:val="20"/>
          <w:szCs w:val="20"/>
          <w:lang w:val="en-GB"/>
        </w:rPr>
        <w:t xml:space="preserve"> it was found that </w:t>
      </w:r>
      <w:r w:rsidRPr="00594429">
        <w:rPr>
          <w:rFonts w:ascii="Arial" w:eastAsia="Calibri" w:hAnsi="Arial" w:cs="Arial"/>
          <w:b/>
          <w:bCs/>
          <w:sz w:val="20"/>
          <w:szCs w:val="20"/>
          <w:lang w:val="en-GB"/>
        </w:rPr>
        <w:t>sellers had breached their obligations regarding the principles of fair trading within the meaning of Section 3</w:t>
      </w:r>
      <w:r w:rsidRPr="00594429">
        <w:rPr>
          <w:rFonts w:ascii="Arial" w:eastAsia="Calibri" w:hAnsi="Arial" w:cs="Arial"/>
          <w:sz w:val="20"/>
          <w:szCs w:val="20"/>
          <w:lang w:val="en-GB"/>
        </w:rPr>
        <w:t>. Failure to issue a receipt for the purchase of goods or the provision of services, despite the consumer having requested one in accordance with Section 16(1), was identified in 142 cases. A smaller number of other breaches of legal regulations were identified.</w:t>
      </w:r>
    </w:p>
    <w:p w14:paraId="266614CE"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Based on the breaches of legal regulations identified within the CTIA’s surveillance scope, </w:t>
      </w:r>
      <w:r w:rsidRPr="00594429">
        <w:rPr>
          <w:rFonts w:ascii="Arial" w:eastAsia="Calibri" w:hAnsi="Arial" w:cs="Arial"/>
          <w:b/>
          <w:bCs/>
          <w:sz w:val="20"/>
          <w:szCs w:val="20"/>
          <w:lang w:val="en-GB"/>
        </w:rPr>
        <w:t>676 fines totalling 22,616,200 CZK became final in the second quarter of 2026.</w:t>
      </w:r>
    </w:p>
    <w:p w14:paraId="3538E17A" w14:textId="77777777" w:rsidR="00594429" w:rsidRPr="00594429" w:rsidRDefault="00594429" w:rsidP="00594429">
      <w:pPr>
        <w:pStyle w:val="Normlnweb"/>
        <w:jc w:val="both"/>
        <w:rPr>
          <w:rFonts w:ascii="Arial" w:eastAsia="Calibri" w:hAnsi="Arial" w:cs="Arial"/>
          <w:sz w:val="20"/>
          <w:szCs w:val="20"/>
          <w:lang w:val="en-GB"/>
        </w:rPr>
      </w:pPr>
      <w:r w:rsidRPr="00594429">
        <w:rPr>
          <w:rFonts w:ascii="Arial" w:eastAsia="Calibri" w:hAnsi="Arial" w:cs="Arial"/>
          <w:sz w:val="20"/>
          <w:szCs w:val="20"/>
          <w:lang w:val="en-GB"/>
        </w:rPr>
        <w:t xml:space="preserve">Within the inspection activity, </w:t>
      </w:r>
      <w:r w:rsidRPr="00594429">
        <w:rPr>
          <w:rFonts w:ascii="Arial" w:eastAsia="Calibri" w:hAnsi="Arial" w:cs="Arial"/>
          <w:b/>
          <w:bCs/>
          <w:sz w:val="20"/>
          <w:szCs w:val="20"/>
          <w:lang w:val="en-GB"/>
        </w:rPr>
        <w:t>a ban was imposed on the use of</w:t>
      </w:r>
      <w:r w:rsidRPr="00594429">
        <w:rPr>
          <w:rFonts w:ascii="Arial" w:eastAsia="Calibri" w:hAnsi="Arial" w:cs="Arial"/>
          <w:sz w:val="20"/>
          <w:szCs w:val="20"/>
          <w:lang w:val="en-GB"/>
        </w:rPr>
        <w:t xml:space="preserve"> </w:t>
      </w:r>
      <w:r w:rsidRPr="00594429">
        <w:rPr>
          <w:rFonts w:ascii="Arial" w:eastAsia="Calibri" w:hAnsi="Arial" w:cs="Arial"/>
          <w:b/>
          <w:bCs/>
          <w:sz w:val="20"/>
          <w:szCs w:val="20"/>
          <w:lang w:val="en-GB"/>
        </w:rPr>
        <w:t>115 measuring instruments</w:t>
      </w:r>
      <w:r w:rsidRPr="00594429">
        <w:rPr>
          <w:rFonts w:ascii="Arial" w:eastAsia="Calibri" w:hAnsi="Arial" w:cs="Arial"/>
          <w:sz w:val="20"/>
          <w:szCs w:val="20"/>
          <w:lang w:val="en-GB"/>
        </w:rPr>
        <w:t xml:space="preserve"> which did not comply with applicable legal regulations, technical standards, other technical regulations or, where applicable, the approved type.</w:t>
      </w:r>
    </w:p>
    <w:p w14:paraId="622ED977" w14:textId="46E82871" w:rsidR="00594429" w:rsidRPr="00594429" w:rsidRDefault="00594429" w:rsidP="00594429">
      <w:pPr>
        <w:pStyle w:val="Normlnweb"/>
        <w:jc w:val="both"/>
        <w:rPr>
          <w:rFonts w:ascii="Arial" w:eastAsia="Calibri" w:hAnsi="Arial" w:cs="Arial"/>
          <w:sz w:val="20"/>
          <w:szCs w:val="20"/>
        </w:rPr>
      </w:pPr>
      <w:r w:rsidRPr="00594429">
        <w:rPr>
          <w:rFonts w:ascii="Arial" w:eastAsia="Calibri" w:hAnsi="Arial" w:cs="Arial"/>
          <w:sz w:val="20"/>
          <w:szCs w:val="20"/>
          <w:lang w:val="en-GB"/>
        </w:rPr>
        <w:t xml:space="preserve">The results of the inspections in the second quarter – which do not include those carried out within the inter-ministerial nationwide campaign, in which CTIA inspectors are actively involved alongside the Czech Police and </w:t>
      </w:r>
      <w:proofErr w:type="gramStart"/>
      <w:r w:rsidRPr="00594429">
        <w:rPr>
          <w:rFonts w:ascii="Arial" w:eastAsia="Calibri" w:hAnsi="Arial" w:cs="Arial"/>
          <w:sz w:val="20"/>
          <w:szCs w:val="20"/>
          <w:lang w:val="en-GB"/>
        </w:rPr>
        <w:t>a number of</w:t>
      </w:r>
      <w:proofErr w:type="gramEnd"/>
      <w:r w:rsidRPr="00594429">
        <w:rPr>
          <w:rFonts w:ascii="Arial" w:eastAsia="Calibri" w:hAnsi="Arial" w:cs="Arial"/>
          <w:sz w:val="20"/>
          <w:szCs w:val="20"/>
          <w:lang w:val="en-GB"/>
        </w:rPr>
        <w:t xml:space="preserve"> other surveillance bodies – confirmed the validity of the CTIA’s inspection activity, with shortcomings identified in almost half (43.06%) of inspections. </w:t>
      </w:r>
      <w:r w:rsidRPr="00594429">
        <w:rPr>
          <w:rFonts w:ascii="Arial" w:eastAsia="Calibri" w:hAnsi="Arial" w:cs="Arial"/>
          <w:b/>
          <w:bCs/>
          <w:sz w:val="20"/>
          <w:szCs w:val="20"/>
          <w:lang w:val="en-GB"/>
        </w:rPr>
        <w:t xml:space="preserve">The most serious finding was the sale or serving of alcoholic beverages to persons under the age of 18, which was detected in 148 inspections, i.e. 7.8 per cent of the total number of 1,902 inspections carried out. </w:t>
      </w:r>
      <w:r w:rsidRPr="00594429">
        <w:rPr>
          <w:rFonts w:ascii="Arial" w:eastAsia="Calibri" w:hAnsi="Arial" w:cs="Arial"/>
          <w:sz w:val="20"/>
          <w:szCs w:val="20"/>
          <w:lang w:val="en-GB"/>
        </w:rPr>
        <w:t xml:space="preserve">The CTIA will continue to focus intensively on inspection activities in this </w:t>
      </w:r>
      <w:r w:rsidRPr="00594429">
        <w:rPr>
          <w:rFonts w:ascii="Arial" w:eastAsia="Calibri" w:hAnsi="Arial" w:cs="Arial"/>
          <w:sz w:val="20"/>
          <w:szCs w:val="20"/>
        </w:rPr>
        <w:t>area.</w:t>
      </w:r>
    </w:p>
    <w:p w14:paraId="602B4749" w14:textId="1A6A3843" w:rsidR="00BF45C5" w:rsidRPr="00787629" w:rsidRDefault="00BF45C5" w:rsidP="00594429">
      <w:pPr>
        <w:pStyle w:val="Normlnweb"/>
        <w:jc w:val="both"/>
        <w:rPr>
          <w:rFonts w:ascii="Arial" w:hAnsi="Arial" w:cs="Arial"/>
          <w:sz w:val="20"/>
          <w:szCs w:val="20"/>
        </w:rPr>
      </w:pPr>
    </w:p>
    <w:sectPr w:rsidR="00BF45C5" w:rsidRPr="00787629"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F50EF" w14:textId="77777777" w:rsidR="00C130A0" w:rsidRDefault="00C130A0" w:rsidP="00807D68">
      <w:pPr>
        <w:spacing w:after="0" w:line="240" w:lineRule="auto"/>
      </w:pPr>
      <w:r>
        <w:separator/>
      </w:r>
    </w:p>
  </w:endnote>
  <w:endnote w:type="continuationSeparator" w:id="0">
    <w:p w14:paraId="703A21E1" w14:textId="77777777" w:rsidR="00C130A0" w:rsidRDefault="00C130A0"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4B06" w14:textId="77777777" w:rsidR="0052426C" w:rsidRPr="000B3C18" w:rsidRDefault="0052426C" w:rsidP="0052426C">
    <w:pPr>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594B5DEE" wp14:editId="3B5F46C8">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04FE37D6" w14:textId="77777777" w:rsidR="0052426C" w:rsidRPr="007F2BC4" w:rsidRDefault="0052426C" w:rsidP="0052426C">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594B5DEE"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04FE37D6" w14:textId="77777777" w:rsidR="0052426C" w:rsidRPr="007F2BC4" w:rsidRDefault="0052426C" w:rsidP="0052426C">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512B3FE5" wp14:editId="033F1AD9">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27B0C697" w14:textId="77777777" w:rsidR="0052426C" w:rsidRPr="00DC6D14" w:rsidRDefault="0052426C" w:rsidP="0052426C">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512B3FE5"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27B0C697" w14:textId="77777777" w:rsidR="0052426C" w:rsidRPr="00DC6D14" w:rsidRDefault="0052426C" w:rsidP="0052426C">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p>
  <w:p w14:paraId="2E86EAD4" w14:textId="105AEA72" w:rsidR="00F34A6A" w:rsidRPr="0052426C" w:rsidRDefault="0052426C" w:rsidP="0052426C">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DFD99" w14:textId="77777777" w:rsidR="00C130A0" w:rsidRDefault="00C130A0" w:rsidP="00807D68">
      <w:pPr>
        <w:spacing w:after="0" w:line="240" w:lineRule="auto"/>
      </w:pPr>
      <w:r>
        <w:separator/>
      </w:r>
    </w:p>
  </w:footnote>
  <w:footnote w:type="continuationSeparator" w:id="0">
    <w:p w14:paraId="63D5D90D" w14:textId="77777777" w:rsidR="00C130A0" w:rsidRDefault="00C130A0"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7C75"/>
    <w:multiLevelType w:val="hybridMultilevel"/>
    <w:tmpl w:val="F034B6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D372A1"/>
    <w:multiLevelType w:val="hybridMultilevel"/>
    <w:tmpl w:val="F790DA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C6535B"/>
    <w:multiLevelType w:val="hybridMultilevel"/>
    <w:tmpl w:val="77067FCE"/>
    <w:lvl w:ilvl="0" w:tplc="A2E47128">
      <w:start w:val="13"/>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0041CC2"/>
    <w:multiLevelType w:val="hybridMultilevel"/>
    <w:tmpl w:val="9ABC86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6"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8"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9"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10" w15:restartNumberingAfterBreak="0">
    <w:nsid w:val="3F5F551B"/>
    <w:multiLevelType w:val="hybridMultilevel"/>
    <w:tmpl w:val="861C71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2" w15:restartNumberingAfterBreak="0">
    <w:nsid w:val="58E46094"/>
    <w:multiLevelType w:val="hybridMultilevel"/>
    <w:tmpl w:val="0666F1F8"/>
    <w:lvl w:ilvl="0" w:tplc="04050001">
      <w:start w:val="1"/>
      <w:numFmt w:val="bullet"/>
      <w:lvlText w:val=""/>
      <w:lvlJc w:val="left"/>
      <w:pPr>
        <w:ind w:left="721" w:hanging="360"/>
      </w:pPr>
      <w:rPr>
        <w:rFonts w:ascii="Symbol" w:hAnsi="Symbol" w:hint="default"/>
      </w:rPr>
    </w:lvl>
    <w:lvl w:ilvl="1" w:tplc="04050003">
      <w:start w:val="1"/>
      <w:numFmt w:val="bullet"/>
      <w:lvlText w:val="o"/>
      <w:lvlJc w:val="left"/>
      <w:pPr>
        <w:ind w:left="1441" w:hanging="360"/>
      </w:pPr>
      <w:rPr>
        <w:rFonts w:ascii="Courier New" w:hAnsi="Courier New" w:cs="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cs="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cs="Courier New" w:hint="default"/>
      </w:rPr>
    </w:lvl>
    <w:lvl w:ilvl="8" w:tplc="04050005">
      <w:start w:val="1"/>
      <w:numFmt w:val="bullet"/>
      <w:lvlText w:val=""/>
      <w:lvlJc w:val="left"/>
      <w:pPr>
        <w:ind w:left="6481" w:hanging="360"/>
      </w:pPr>
      <w:rPr>
        <w:rFonts w:ascii="Wingdings" w:hAnsi="Wingdings" w:hint="default"/>
      </w:rPr>
    </w:lvl>
  </w:abstractNum>
  <w:abstractNum w:abstractNumId="13" w15:restartNumberingAfterBreak="0">
    <w:nsid w:val="598E60E8"/>
    <w:multiLevelType w:val="hybridMultilevel"/>
    <w:tmpl w:val="730299F2"/>
    <w:lvl w:ilvl="0" w:tplc="43546ABE">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A004778"/>
    <w:multiLevelType w:val="hybridMultilevel"/>
    <w:tmpl w:val="F41A5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7"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05991746">
    <w:abstractNumId w:val="3"/>
  </w:num>
  <w:num w:numId="2" w16cid:durableId="376003955">
    <w:abstractNumId w:val="14"/>
  </w:num>
  <w:num w:numId="3" w16cid:durableId="1988901036">
    <w:abstractNumId w:val="7"/>
  </w:num>
  <w:num w:numId="4" w16cid:durableId="4678617">
    <w:abstractNumId w:val="16"/>
  </w:num>
  <w:num w:numId="5" w16cid:durableId="891884683">
    <w:abstractNumId w:val="17"/>
  </w:num>
  <w:num w:numId="6" w16cid:durableId="2012217881">
    <w:abstractNumId w:val="9"/>
  </w:num>
  <w:num w:numId="7" w16cid:durableId="619382457">
    <w:abstractNumId w:val="8"/>
  </w:num>
  <w:num w:numId="8" w16cid:durableId="735712363">
    <w:abstractNumId w:val="5"/>
  </w:num>
  <w:num w:numId="9" w16cid:durableId="1945645999">
    <w:abstractNumId w:val="11"/>
  </w:num>
  <w:num w:numId="10" w16cid:durableId="1583680080">
    <w:abstractNumId w:val="6"/>
  </w:num>
  <w:num w:numId="11" w16cid:durableId="1773623103">
    <w:abstractNumId w:val="12"/>
  </w:num>
  <w:num w:numId="12" w16cid:durableId="747507374">
    <w:abstractNumId w:val="15"/>
  </w:num>
  <w:num w:numId="13" w16cid:durableId="1128084237">
    <w:abstractNumId w:val="1"/>
  </w:num>
  <w:num w:numId="14" w16cid:durableId="691492746">
    <w:abstractNumId w:val="0"/>
  </w:num>
  <w:num w:numId="15" w16cid:durableId="1296064481">
    <w:abstractNumId w:val="4"/>
  </w:num>
  <w:num w:numId="16" w16cid:durableId="519440369">
    <w:abstractNumId w:val="2"/>
  </w:num>
  <w:num w:numId="17" w16cid:durableId="1258709662">
    <w:abstractNumId w:val="10"/>
  </w:num>
  <w:num w:numId="18" w16cid:durableId="17595993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51CA"/>
    <w:rsid w:val="00007B29"/>
    <w:rsid w:val="00017AC7"/>
    <w:rsid w:val="000330D4"/>
    <w:rsid w:val="000344FB"/>
    <w:rsid w:val="00034E70"/>
    <w:rsid w:val="0004202F"/>
    <w:rsid w:val="00054BDB"/>
    <w:rsid w:val="00056E6A"/>
    <w:rsid w:val="000645A6"/>
    <w:rsid w:val="000718D8"/>
    <w:rsid w:val="000741E3"/>
    <w:rsid w:val="00080F87"/>
    <w:rsid w:val="000926DB"/>
    <w:rsid w:val="000A1387"/>
    <w:rsid w:val="000A58D1"/>
    <w:rsid w:val="000B22C8"/>
    <w:rsid w:val="000B3C18"/>
    <w:rsid w:val="000B3ECB"/>
    <w:rsid w:val="000E04CE"/>
    <w:rsid w:val="000E28FA"/>
    <w:rsid w:val="000E2C64"/>
    <w:rsid w:val="000F3D0F"/>
    <w:rsid w:val="000F4860"/>
    <w:rsid w:val="0010411E"/>
    <w:rsid w:val="0010564B"/>
    <w:rsid w:val="00106D35"/>
    <w:rsid w:val="0010721B"/>
    <w:rsid w:val="00116EC5"/>
    <w:rsid w:val="001217E6"/>
    <w:rsid w:val="001237FD"/>
    <w:rsid w:val="00127F12"/>
    <w:rsid w:val="00142850"/>
    <w:rsid w:val="00143E7B"/>
    <w:rsid w:val="0014680C"/>
    <w:rsid w:val="001472E1"/>
    <w:rsid w:val="00152827"/>
    <w:rsid w:val="00164366"/>
    <w:rsid w:val="00167F18"/>
    <w:rsid w:val="00171AD0"/>
    <w:rsid w:val="001725B9"/>
    <w:rsid w:val="00192BDE"/>
    <w:rsid w:val="001A15DE"/>
    <w:rsid w:val="001A17E9"/>
    <w:rsid w:val="001A5542"/>
    <w:rsid w:val="001B5E41"/>
    <w:rsid w:val="001C38DE"/>
    <w:rsid w:val="001D0E07"/>
    <w:rsid w:val="001D158E"/>
    <w:rsid w:val="001D5235"/>
    <w:rsid w:val="001D7E39"/>
    <w:rsid w:val="001E7692"/>
    <w:rsid w:val="001F163D"/>
    <w:rsid w:val="002012CC"/>
    <w:rsid w:val="00201574"/>
    <w:rsid w:val="002048FA"/>
    <w:rsid w:val="00210622"/>
    <w:rsid w:val="00225F02"/>
    <w:rsid w:val="00230EA8"/>
    <w:rsid w:val="0024543F"/>
    <w:rsid w:val="0024722A"/>
    <w:rsid w:val="0026333E"/>
    <w:rsid w:val="00270EA0"/>
    <w:rsid w:val="0027134B"/>
    <w:rsid w:val="002726E7"/>
    <w:rsid w:val="002747E8"/>
    <w:rsid w:val="00282614"/>
    <w:rsid w:val="00286116"/>
    <w:rsid w:val="002867EE"/>
    <w:rsid w:val="00287627"/>
    <w:rsid w:val="00293AD4"/>
    <w:rsid w:val="00295322"/>
    <w:rsid w:val="00297BEA"/>
    <w:rsid w:val="002A4446"/>
    <w:rsid w:val="002B02E9"/>
    <w:rsid w:val="002B7C92"/>
    <w:rsid w:val="002C050A"/>
    <w:rsid w:val="002C12CA"/>
    <w:rsid w:val="002C2749"/>
    <w:rsid w:val="002C4D7C"/>
    <w:rsid w:val="002C63B6"/>
    <w:rsid w:val="002D3242"/>
    <w:rsid w:val="002D51F8"/>
    <w:rsid w:val="002E588A"/>
    <w:rsid w:val="002E7E4D"/>
    <w:rsid w:val="0030473A"/>
    <w:rsid w:val="003131FA"/>
    <w:rsid w:val="0031467D"/>
    <w:rsid w:val="00320214"/>
    <w:rsid w:val="00323DB7"/>
    <w:rsid w:val="0033412C"/>
    <w:rsid w:val="0034714F"/>
    <w:rsid w:val="00350179"/>
    <w:rsid w:val="003522F9"/>
    <w:rsid w:val="00363379"/>
    <w:rsid w:val="00363881"/>
    <w:rsid w:val="0037728A"/>
    <w:rsid w:val="0038039C"/>
    <w:rsid w:val="0038643C"/>
    <w:rsid w:val="00394225"/>
    <w:rsid w:val="003C29C0"/>
    <w:rsid w:val="003E1F02"/>
    <w:rsid w:val="003E3B85"/>
    <w:rsid w:val="003E433E"/>
    <w:rsid w:val="003E4722"/>
    <w:rsid w:val="003F2528"/>
    <w:rsid w:val="003F290C"/>
    <w:rsid w:val="003F38A9"/>
    <w:rsid w:val="0040156D"/>
    <w:rsid w:val="004053E4"/>
    <w:rsid w:val="0041440B"/>
    <w:rsid w:val="00417CBD"/>
    <w:rsid w:val="00432A70"/>
    <w:rsid w:val="0043419B"/>
    <w:rsid w:val="00435BEC"/>
    <w:rsid w:val="00436087"/>
    <w:rsid w:val="004405F4"/>
    <w:rsid w:val="00446EEA"/>
    <w:rsid w:val="00456242"/>
    <w:rsid w:val="0046373B"/>
    <w:rsid w:val="00477F73"/>
    <w:rsid w:val="00486B82"/>
    <w:rsid w:val="0049374E"/>
    <w:rsid w:val="00493D8C"/>
    <w:rsid w:val="00494ACB"/>
    <w:rsid w:val="0049637D"/>
    <w:rsid w:val="004A3370"/>
    <w:rsid w:val="004A4EDB"/>
    <w:rsid w:val="004A73FE"/>
    <w:rsid w:val="004A7B5C"/>
    <w:rsid w:val="004D5C8C"/>
    <w:rsid w:val="004E0AD5"/>
    <w:rsid w:val="004E28F6"/>
    <w:rsid w:val="004E6AFD"/>
    <w:rsid w:val="004F0F0C"/>
    <w:rsid w:val="004F3AA9"/>
    <w:rsid w:val="005026D6"/>
    <w:rsid w:val="00503247"/>
    <w:rsid w:val="00503319"/>
    <w:rsid w:val="00506781"/>
    <w:rsid w:val="0050711D"/>
    <w:rsid w:val="005125D5"/>
    <w:rsid w:val="00512B26"/>
    <w:rsid w:val="00521123"/>
    <w:rsid w:val="0052426C"/>
    <w:rsid w:val="00526090"/>
    <w:rsid w:val="00532F9A"/>
    <w:rsid w:val="005545CE"/>
    <w:rsid w:val="0056163E"/>
    <w:rsid w:val="00564E63"/>
    <w:rsid w:val="00566E27"/>
    <w:rsid w:val="005702A5"/>
    <w:rsid w:val="00572CFD"/>
    <w:rsid w:val="00574983"/>
    <w:rsid w:val="0057550B"/>
    <w:rsid w:val="005757BA"/>
    <w:rsid w:val="00577B57"/>
    <w:rsid w:val="005837B9"/>
    <w:rsid w:val="00583AA9"/>
    <w:rsid w:val="005923C5"/>
    <w:rsid w:val="00592C1D"/>
    <w:rsid w:val="00594429"/>
    <w:rsid w:val="0059503F"/>
    <w:rsid w:val="005A0FA4"/>
    <w:rsid w:val="005A2329"/>
    <w:rsid w:val="005A3A49"/>
    <w:rsid w:val="005B2A55"/>
    <w:rsid w:val="005C435F"/>
    <w:rsid w:val="005D105B"/>
    <w:rsid w:val="005D38FD"/>
    <w:rsid w:val="005E159D"/>
    <w:rsid w:val="005E3D23"/>
    <w:rsid w:val="005E7072"/>
    <w:rsid w:val="005F6D9C"/>
    <w:rsid w:val="005F776A"/>
    <w:rsid w:val="005F7F53"/>
    <w:rsid w:val="0060731F"/>
    <w:rsid w:val="0061127C"/>
    <w:rsid w:val="00611325"/>
    <w:rsid w:val="00612AB2"/>
    <w:rsid w:val="00625C2E"/>
    <w:rsid w:val="00647334"/>
    <w:rsid w:val="00653A86"/>
    <w:rsid w:val="00656822"/>
    <w:rsid w:val="00663C7B"/>
    <w:rsid w:val="00672289"/>
    <w:rsid w:val="00674A42"/>
    <w:rsid w:val="00681DA5"/>
    <w:rsid w:val="0068220F"/>
    <w:rsid w:val="006976CC"/>
    <w:rsid w:val="006B2280"/>
    <w:rsid w:val="006B541A"/>
    <w:rsid w:val="006B7269"/>
    <w:rsid w:val="006C1933"/>
    <w:rsid w:val="006C77CE"/>
    <w:rsid w:val="006C7FE6"/>
    <w:rsid w:val="006D0837"/>
    <w:rsid w:val="006D309F"/>
    <w:rsid w:val="006D357C"/>
    <w:rsid w:val="006D428D"/>
    <w:rsid w:val="006E0C6A"/>
    <w:rsid w:val="006E3BFD"/>
    <w:rsid w:val="006F5F52"/>
    <w:rsid w:val="006F6413"/>
    <w:rsid w:val="0070124B"/>
    <w:rsid w:val="00710775"/>
    <w:rsid w:val="00720038"/>
    <w:rsid w:val="00726A27"/>
    <w:rsid w:val="0073117A"/>
    <w:rsid w:val="00735C36"/>
    <w:rsid w:val="00735CE1"/>
    <w:rsid w:val="007363D1"/>
    <w:rsid w:val="00752488"/>
    <w:rsid w:val="00771930"/>
    <w:rsid w:val="00775050"/>
    <w:rsid w:val="00777C82"/>
    <w:rsid w:val="00787629"/>
    <w:rsid w:val="007905C3"/>
    <w:rsid w:val="007A73B8"/>
    <w:rsid w:val="007B1D73"/>
    <w:rsid w:val="007B6434"/>
    <w:rsid w:val="007C3195"/>
    <w:rsid w:val="007C40CF"/>
    <w:rsid w:val="007C56CE"/>
    <w:rsid w:val="007C5BE8"/>
    <w:rsid w:val="007C67D5"/>
    <w:rsid w:val="007D00A7"/>
    <w:rsid w:val="007D521E"/>
    <w:rsid w:val="007D6665"/>
    <w:rsid w:val="007E185F"/>
    <w:rsid w:val="007E237F"/>
    <w:rsid w:val="007E3FDB"/>
    <w:rsid w:val="007E737A"/>
    <w:rsid w:val="0080105F"/>
    <w:rsid w:val="0080437B"/>
    <w:rsid w:val="008078D2"/>
    <w:rsid w:val="00807D68"/>
    <w:rsid w:val="0081213E"/>
    <w:rsid w:val="00825538"/>
    <w:rsid w:val="00832B85"/>
    <w:rsid w:val="0084477F"/>
    <w:rsid w:val="00845C91"/>
    <w:rsid w:val="00853F56"/>
    <w:rsid w:val="00857557"/>
    <w:rsid w:val="008632A4"/>
    <w:rsid w:val="008634AD"/>
    <w:rsid w:val="00867AF1"/>
    <w:rsid w:val="00872E63"/>
    <w:rsid w:val="00885497"/>
    <w:rsid w:val="00890135"/>
    <w:rsid w:val="0089254F"/>
    <w:rsid w:val="00897EAA"/>
    <w:rsid w:val="008A1045"/>
    <w:rsid w:val="008A5014"/>
    <w:rsid w:val="008A603A"/>
    <w:rsid w:val="008B317F"/>
    <w:rsid w:val="008C03DA"/>
    <w:rsid w:val="008C4753"/>
    <w:rsid w:val="008F22C0"/>
    <w:rsid w:val="008F736D"/>
    <w:rsid w:val="009017B0"/>
    <w:rsid w:val="00904CB2"/>
    <w:rsid w:val="0090767D"/>
    <w:rsid w:val="009145E5"/>
    <w:rsid w:val="00917CF5"/>
    <w:rsid w:val="0092177A"/>
    <w:rsid w:val="0092339C"/>
    <w:rsid w:val="009266E9"/>
    <w:rsid w:val="00931297"/>
    <w:rsid w:val="00955DA0"/>
    <w:rsid w:val="0096605A"/>
    <w:rsid w:val="0097055F"/>
    <w:rsid w:val="00970F06"/>
    <w:rsid w:val="00971704"/>
    <w:rsid w:val="00972523"/>
    <w:rsid w:val="00993300"/>
    <w:rsid w:val="00994232"/>
    <w:rsid w:val="009C020A"/>
    <w:rsid w:val="009C191D"/>
    <w:rsid w:val="009C513E"/>
    <w:rsid w:val="009C71B9"/>
    <w:rsid w:val="009D2E91"/>
    <w:rsid w:val="009D4480"/>
    <w:rsid w:val="009E32D6"/>
    <w:rsid w:val="009F2D9C"/>
    <w:rsid w:val="009F319E"/>
    <w:rsid w:val="009F52C7"/>
    <w:rsid w:val="00A04DA8"/>
    <w:rsid w:val="00A05287"/>
    <w:rsid w:val="00A05D3A"/>
    <w:rsid w:val="00A161BD"/>
    <w:rsid w:val="00A33274"/>
    <w:rsid w:val="00A3386C"/>
    <w:rsid w:val="00A57931"/>
    <w:rsid w:val="00A6422C"/>
    <w:rsid w:val="00A66848"/>
    <w:rsid w:val="00A81783"/>
    <w:rsid w:val="00A87920"/>
    <w:rsid w:val="00A900D5"/>
    <w:rsid w:val="00A92C73"/>
    <w:rsid w:val="00A95437"/>
    <w:rsid w:val="00A95A44"/>
    <w:rsid w:val="00A96A7D"/>
    <w:rsid w:val="00AC7EE3"/>
    <w:rsid w:val="00AD1A83"/>
    <w:rsid w:val="00AD2EE9"/>
    <w:rsid w:val="00AD5BED"/>
    <w:rsid w:val="00AD6ACE"/>
    <w:rsid w:val="00AF2B4F"/>
    <w:rsid w:val="00AF2CFE"/>
    <w:rsid w:val="00B03B85"/>
    <w:rsid w:val="00B058DB"/>
    <w:rsid w:val="00B205BA"/>
    <w:rsid w:val="00B20F24"/>
    <w:rsid w:val="00B31C4F"/>
    <w:rsid w:val="00B40171"/>
    <w:rsid w:val="00B44F4B"/>
    <w:rsid w:val="00B46C7B"/>
    <w:rsid w:val="00B66F4C"/>
    <w:rsid w:val="00B71E17"/>
    <w:rsid w:val="00B71F4B"/>
    <w:rsid w:val="00B838EA"/>
    <w:rsid w:val="00B919C7"/>
    <w:rsid w:val="00B97A9C"/>
    <w:rsid w:val="00B97EAC"/>
    <w:rsid w:val="00BB65E2"/>
    <w:rsid w:val="00BC1809"/>
    <w:rsid w:val="00BD02A1"/>
    <w:rsid w:val="00BD0EBB"/>
    <w:rsid w:val="00BE29F2"/>
    <w:rsid w:val="00BE5F61"/>
    <w:rsid w:val="00BE7BD6"/>
    <w:rsid w:val="00BF2D69"/>
    <w:rsid w:val="00BF3216"/>
    <w:rsid w:val="00BF45C5"/>
    <w:rsid w:val="00BF5CA1"/>
    <w:rsid w:val="00C03B41"/>
    <w:rsid w:val="00C05AC6"/>
    <w:rsid w:val="00C130A0"/>
    <w:rsid w:val="00C16E11"/>
    <w:rsid w:val="00C241B4"/>
    <w:rsid w:val="00C41758"/>
    <w:rsid w:val="00C43D14"/>
    <w:rsid w:val="00C4704F"/>
    <w:rsid w:val="00C5723C"/>
    <w:rsid w:val="00C60607"/>
    <w:rsid w:val="00C65263"/>
    <w:rsid w:val="00C65B4A"/>
    <w:rsid w:val="00C66472"/>
    <w:rsid w:val="00C66ACF"/>
    <w:rsid w:val="00C74C3A"/>
    <w:rsid w:val="00C774B1"/>
    <w:rsid w:val="00C8125A"/>
    <w:rsid w:val="00C8284E"/>
    <w:rsid w:val="00C83997"/>
    <w:rsid w:val="00C937E8"/>
    <w:rsid w:val="00C96937"/>
    <w:rsid w:val="00C97D46"/>
    <w:rsid w:val="00CA4F0B"/>
    <w:rsid w:val="00CB5D1C"/>
    <w:rsid w:val="00CC3693"/>
    <w:rsid w:val="00CD11D7"/>
    <w:rsid w:val="00CE40CA"/>
    <w:rsid w:val="00CF6F01"/>
    <w:rsid w:val="00D00046"/>
    <w:rsid w:val="00D00C55"/>
    <w:rsid w:val="00D100A7"/>
    <w:rsid w:val="00D1029A"/>
    <w:rsid w:val="00D2107A"/>
    <w:rsid w:val="00D230ED"/>
    <w:rsid w:val="00D31A25"/>
    <w:rsid w:val="00D329DD"/>
    <w:rsid w:val="00D33380"/>
    <w:rsid w:val="00D353B4"/>
    <w:rsid w:val="00D40E2F"/>
    <w:rsid w:val="00D4524C"/>
    <w:rsid w:val="00D6251E"/>
    <w:rsid w:val="00D646CB"/>
    <w:rsid w:val="00D66CD2"/>
    <w:rsid w:val="00D763A0"/>
    <w:rsid w:val="00D82F55"/>
    <w:rsid w:val="00D8316C"/>
    <w:rsid w:val="00D966A5"/>
    <w:rsid w:val="00DB284A"/>
    <w:rsid w:val="00DB4678"/>
    <w:rsid w:val="00DC0655"/>
    <w:rsid w:val="00DC5B7E"/>
    <w:rsid w:val="00DD2479"/>
    <w:rsid w:val="00DE2595"/>
    <w:rsid w:val="00DF0ACB"/>
    <w:rsid w:val="00DF2B46"/>
    <w:rsid w:val="00DF5BBC"/>
    <w:rsid w:val="00E00F5C"/>
    <w:rsid w:val="00E01D17"/>
    <w:rsid w:val="00E047DD"/>
    <w:rsid w:val="00E17BF0"/>
    <w:rsid w:val="00E27FB5"/>
    <w:rsid w:val="00E30B1C"/>
    <w:rsid w:val="00E41156"/>
    <w:rsid w:val="00E44096"/>
    <w:rsid w:val="00E53779"/>
    <w:rsid w:val="00E561BC"/>
    <w:rsid w:val="00E65653"/>
    <w:rsid w:val="00E67615"/>
    <w:rsid w:val="00E7412B"/>
    <w:rsid w:val="00E8436F"/>
    <w:rsid w:val="00E90D9C"/>
    <w:rsid w:val="00E97924"/>
    <w:rsid w:val="00EA1D75"/>
    <w:rsid w:val="00EA39B4"/>
    <w:rsid w:val="00EA5E71"/>
    <w:rsid w:val="00EA5F01"/>
    <w:rsid w:val="00EB337C"/>
    <w:rsid w:val="00EB66BD"/>
    <w:rsid w:val="00ED4CDF"/>
    <w:rsid w:val="00EE3238"/>
    <w:rsid w:val="00EE5FC0"/>
    <w:rsid w:val="00EF3E1F"/>
    <w:rsid w:val="00EF6717"/>
    <w:rsid w:val="00F168AF"/>
    <w:rsid w:val="00F34A6A"/>
    <w:rsid w:val="00F35124"/>
    <w:rsid w:val="00F4039A"/>
    <w:rsid w:val="00F4644A"/>
    <w:rsid w:val="00F53C17"/>
    <w:rsid w:val="00F547C8"/>
    <w:rsid w:val="00F55D33"/>
    <w:rsid w:val="00F601DE"/>
    <w:rsid w:val="00F70689"/>
    <w:rsid w:val="00F70880"/>
    <w:rsid w:val="00F75DA7"/>
    <w:rsid w:val="00FA0C92"/>
    <w:rsid w:val="00FB39B8"/>
    <w:rsid w:val="00FD08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0E28FA"/>
    <w:pPr>
      <w:spacing w:after="0" w:line="240" w:lineRule="auto"/>
    </w:pPr>
  </w:style>
  <w:style w:type="character" w:styleId="Odkaznakoment">
    <w:name w:val="annotation reference"/>
    <w:basedOn w:val="Standardnpsmoodstavce"/>
    <w:uiPriority w:val="99"/>
    <w:semiHidden/>
    <w:unhideWhenUsed/>
    <w:rsid w:val="00777C82"/>
    <w:rPr>
      <w:sz w:val="16"/>
      <w:szCs w:val="16"/>
    </w:rPr>
  </w:style>
  <w:style w:type="paragraph" w:styleId="Textkomente">
    <w:name w:val="annotation text"/>
    <w:basedOn w:val="Normln"/>
    <w:link w:val="TextkomenteChar"/>
    <w:uiPriority w:val="99"/>
    <w:unhideWhenUsed/>
    <w:rsid w:val="00777C82"/>
    <w:pPr>
      <w:spacing w:line="240" w:lineRule="auto"/>
    </w:pPr>
    <w:rPr>
      <w:sz w:val="20"/>
      <w:szCs w:val="20"/>
    </w:rPr>
  </w:style>
  <w:style w:type="character" w:customStyle="1" w:styleId="TextkomenteChar">
    <w:name w:val="Text komentáře Char"/>
    <w:basedOn w:val="Standardnpsmoodstavce"/>
    <w:link w:val="Textkomente"/>
    <w:uiPriority w:val="99"/>
    <w:rsid w:val="00777C82"/>
    <w:rPr>
      <w:sz w:val="20"/>
      <w:szCs w:val="20"/>
    </w:rPr>
  </w:style>
  <w:style w:type="paragraph" w:styleId="Pedmtkomente">
    <w:name w:val="annotation subject"/>
    <w:basedOn w:val="Textkomente"/>
    <w:next w:val="Textkomente"/>
    <w:link w:val="PedmtkomenteChar"/>
    <w:uiPriority w:val="99"/>
    <w:semiHidden/>
    <w:unhideWhenUsed/>
    <w:rsid w:val="00777C82"/>
    <w:rPr>
      <w:b/>
      <w:bCs/>
    </w:rPr>
  </w:style>
  <w:style w:type="character" w:customStyle="1" w:styleId="PedmtkomenteChar">
    <w:name w:val="Předmět komentáře Char"/>
    <w:basedOn w:val="TextkomenteChar"/>
    <w:link w:val="Pedmtkomente"/>
    <w:uiPriority w:val="99"/>
    <w:semiHidden/>
    <w:rsid w:val="00777C82"/>
    <w:rPr>
      <w:b/>
      <w:bCs/>
      <w:sz w:val="20"/>
      <w:szCs w:val="20"/>
    </w:rPr>
  </w:style>
  <w:style w:type="paragraph" w:styleId="Normlnweb">
    <w:name w:val="Normal (Web)"/>
    <w:basedOn w:val="Normln"/>
    <w:uiPriority w:val="99"/>
    <w:unhideWhenUsed/>
    <w:rsid w:val="00832B8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7B1D73"/>
    <w:rPr>
      <w:color w:val="0563C1" w:themeColor="hyperlink"/>
      <w:u w:val="single"/>
    </w:rPr>
  </w:style>
  <w:style w:type="character" w:styleId="Nevyeenzmnka">
    <w:name w:val="Unresolved Mention"/>
    <w:basedOn w:val="Standardnpsmoodstavce"/>
    <w:uiPriority w:val="99"/>
    <w:semiHidden/>
    <w:unhideWhenUsed/>
    <w:rsid w:val="007B1D73"/>
    <w:rPr>
      <w:color w:val="605E5C"/>
      <w:shd w:val="clear" w:color="auto" w:fill="E1DFDD"/>
    </w:rPr>
  </w:style>
  <w:style w:type="character" w:styleId="Sledovanodkaz">
    <w:name w:val="FollowedHyperlink"/>
    <w:basedOn w:val="Standardnpsmoodstavce"/>
    <w:uiPriority w:val="99"/>
    <w:semiHidden/>
    <w:unhideWhenUsed/>
    <w:rsid w:val="00054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44682">
      <w:bodyDiv w:val="1"/>
      <w:marLeft w:val="0"/>
      <w:marRight w:val="0"/>
      <w:marTop w:val="0"/>
      <w:marBottom w:val="0"/>
      <w:divBdr>
        <w:top w:val="none" w:sz="0" w:space="0" w:color="auto"/>
        <w:left w:val="none" w:sz="0" w:space="0" w:color="auto"/>
        <w:bottom w:val="none" w:sz="0" w:space="0" w:color="auto"/>
        <w:right w:val="none" w:sz="0" w:space="0" w:color="auto"/>
      </w:divBdr>
      <w:divsChild>
        <w:div w:id="2111391913">
          <w:marLeft w:val="0"/>
          <w:marRight w:val="0"/>
          <w:marTop w:val="0"/>
          <w:marBottom w:val="0"/>
          <w:divBdr>
            <w:top w:val="none" w:sz="0" w:space="0" w:color="auto"/>
            <w:left w:val="none" w:sz="0" w:space="0" w:color="auto"/>
            <w:bottom w:val="none" w:sz="0" w:space="0" w:color="auto"/>
            <w:right w:val="none" w:sz="0" w:space="0" w:color="auto"/>
          </w:divBdr>
        </w:div>
      </w:divsChild>
    </w:div>
    <w:div w:id="284426743">
      <w:bodyDiv w:val="1"/>
      <w:marLeft w:val="0"/>
      <w:marRight w:val="0"/>
      <w:marTop w:val="0"/>
      <w:marBottom w:val="0"/>
      <w:divBdr>
        <w:top w:val="none" w:sz="0" w:space="0" w:color="auto"/>
        <w:left w:val="none" w:sz="0" w:space="0" w:color="auto"/>
        <w:bottom w:val="none" w:sz="0" w:space="0" w:color="auto"/>
        <w:right w:val="none" w:sz="0" w:space="0" w:color="auto"/>
      </w:divBdr>
    </w:div>
    <w:div w:id="403916968">
      <w:bodyDiv w:val="1"/>
      <w:marLeft w:val="0"/>
      <w:marRight w:val="0"/>
      <w:marTop w:val="0"/>
      <w:marBottom w:val="0"/>
      <w:divBdr>
        <w:top w:val="none" w:sz="0" w:space="0" w:color="auto"/>
        <w:left w:val="none" w:sz="0" w:space="0" w:color="auto"/>
        <w:bottom w:val="none" w:sz="0" w:space="0" w:color="auto"/>
        <w:right w:val="none" w:sz="0" w:space="0" w:color="auto"/>
      </w:divBdr>
      <w:divsChild>
        <w:div w:id="612522641">
          <w:marLeft w:val="0"/>
          <w:marRight w:val="0"/>
          <w:marTop w:val="0"/>
          <w:marBottom w:val="0"/>
          <w:divBdr>
            <w:top w:val="none" w:sz="0" w:space="0" w:color="auto"/>
            <w:left w:val="none" w:sz="0" w:space="0" w:color="auto"/>
            <w:bottom w:val="none" w:sz="0" w:space="0" w:color="auto"/>
            <w:right w:val="none" w:sz="0" w:space="0" w:color="auto"/>
          </w:divBdr>
        </w:div>
      </w:divsChild>
    </w:div>
    <w:div w:id="560101178">
      <w:bodyDiv w:val="1"/>
      <w:marLeft w:val="0"/>
      <w:marRight w:val="0"/>
      <w:marTop w:val="0"/>
      <w:marBottom w:val="0"/>
      <w:divBdr>
        <w:top w:val="none" w:sz="0" w:space="0" w:color="auto"/>
        <w:left w:val="none" w:sz="0" w:space="0" w:color="auto"/>
        <w:bottom w:val="none" w:sz="0" w:space="0" w:color="auto"/>
        <w:right w:val="none" w:sz="0" w:space="0" w:color="auto"/>
      </w:divBdr>
      <w:divsChild>
        <w:div w:id="577835413">
          <w:marLeft w:val="0"/>
          <w:marRight w:val="0"/>
          <w:marTop w:val="0"/>
          <w:marBottom w:val="0"/>
          <w:divBdr>
            <w:top w:val="none" w:sz="0" w:space="0" w:color="auto"/>
            <w:left w:val="none" w:sz="0" w:space="0" w:color="auto"/>
            <w:bottom w:val="none" w:sz="0" w:space="0" w:color="auto"/>
            <w:right w:val="none" w:sz="0" w:space="0" w:color="auto"/>
          </w:divBdr>
        </w:div>
      </w:divsChild>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 w:id="2030905390">
      <w:bodyDiv w:val="1"/>
      <w:marLeft w:val="0"/>
      <w:marRight w:val="0"/>
      <w:marTop w:val="0"/>
      <w:marBottom w:val="0"/>
      <w:divBdr>
        <w:top w:val="none" w:sz="0" w:space="0" w:color="auto"/>
        <w:left w:val="none" w:sz="0" w:space="0" w:color="auto"/>
        <w:bottom w:val="none" w:sz="0" w:space="0" w:color="auto"/>
        <w:right w:val="none" w:sz="0" w:space="0" w:color="auto"/>
      </w:divBdr>
    </w:div>
    <w:div w:id="2036150056">
      <w:bodyDiv w:val="1"/>
      <w:marLeft w:val="0"/>
      <w:marRight w:val="0"/>
      <w:marTop w:val="0"/>
      <w:marBottom w:val="0"/>
      <w:divBdr>
        <w:top w:val="none" w:sz="0" w:space="0" w:color="auto"/>
        <w:left w:val="none" w:sz="0" w:space="0" w:color="auto"/>
        <w:bottom w:val="none" w:sz="0" w:space="0" w:color="auto"/>
        <w:right w:val="none" w:sz="0" w:space="0" w:color="auto"/>
      </w:divBdr>
      <w:divsChild>
        <w:div w:id="342784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1083</Words>
  <Characters>6395</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16</cp:revision>
  <cp:lastPrinted>2025-05-26T10:14:00Z</cp:lastPrinted>
  <dcterms:created xsi:type="dcterms:W3CDTF">2026-08-13T06:15:00Z</dcterms:created>
  <dcterms:modified xsi:type="dcterms:W3CDTF">2026-10-12T09:31:00Z</dcterms:modified>
</cp:coreProperties>
</file>