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79CE8" w14:textId="77777777" w:rsidR="002A2F6F" w:rsidRPr="00970F06" w:rsidRDefault="002A2F6F" w:rsidP="002A2F6F">
      <w:pPr>
        <w:spacing w:before="240"/>
        <w:jc w:val="right"/>
        <w:rPr>
          <w:rFonts w:ascii="Arial" w:hAnsi="Arial" w:cs="Arial"/>
          <w:color w:val="2658A5"/>
          <w:sz w:val="48"/>
          <w:szCs w:val="48"/>
        </w:rPr>
      </w:pPr>
      <w:r w:rsidRPr="00252EB5">
        <w:rPr>
          <w:rFonts w:ascii="Arial" w:eastAsia="Calibri" w:hAnsi="Arial" w:cs="Arial"/>
          <w:b/>
          <w:bCs/>
          <w:noProof/>
          <w:sz w:val="20"/>
          <w:szCs w:val="20"/>
          <w:lang w:val="en-GB"/>
        </w:rPr>
        <w:drawing>
          <wp:anchor distT="0" distB="0" distL="114300" distR="114300" simplePos="0" relativeHeight="251659264" behindDoc="0" locked="0" layoutInCell="1" allowOverlap="1" wp14:anchorId="6D2B5535" wp14:editId="3270C5CB">
            <wp:simplePos x="0" y="0"/>
            <wp:positionH relativeFrom="margin">
              <wp:posOffset>0</wp:posOffset>
            </wp:positionH>
            <wp:positionV relativeFrom="paragraph">
              <wp:posOffset>56515</wp:posOffset>
            </wp:positionV>
            <wp:extent cx="2695575" cy="511379"/>
            <wp:effectExtent l="0" t="0" r="0" b="3175"/>
            <wp:wrapNone/>
            <wp:docPr id="1284560963" name="Obrázek 1" descr="Obsah obrázku Písmo, Grafika, text, snímek obra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560963" name="Obrázek 1" descr="Obsah obrázku Písmo, Grafika, text, snímek obrazovky&#10;&#10;Obsah generovaný pomocí AI může být nesprávný."/>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5575" cy="51137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2658A5"/>
          <w:sz w:val="48"/>
          <w:szCs w:val="48"/>
        </w:rPr>
        <w:t>PRESS RELEASE</w:t>
      </w:r>
    </w:p>
    <w:p w14:paraId="7BDC8DE0" w14:textId="77777777" w:rsidR="003E3B85" w:rsidRPr="00DF0FBC" w:rsidRDefault="003E3B85" w:rsidP="003E3B85">
      <w:pPr>
        <w:spacing w:before="240"/>
        <w:rPr>
          <w:rFonts w:ascii="Montserrat" w:hAnsi="Montserrat"/>
          <w:b/>
          <w:bCs/>
          <w:color w:val="2658A5"/>
          <w:sz w:val="32"/>
          <w:szCs w:val="32"/>
          <w:lang w:val="en-GB"/>
        </w:rPr>
      </w:pPr>
    </w:p>
    <w:p w14:paraId="5E438DDA" w14:textId="38D1CA37" w:rsidR="00DF0FBC" w:rsidRPr="00DF0FBC" w:rsidRDefault="00DF0FBC" w:rsidP="00DF0FBC">
      <w:pPr>
        <w:pStyle w:val="Default"/>
        <w:spacing w:after="200"/>
        <w:jc w:val="both"/>
        <w:rPr>
          <w:rFonts w:eastAsiaTheme="minorHAnsi"/>
          <w:b/>
          <w:bCs/>
          <w:color w:val="2658A5"/>
          <w:sz w:val="32"/>
          <w:szCs w:val="32"/>
          <w:lang w:val="en-GB"/>
        </w:rPr>
      </w:pPr>
      <w:r w:rsidRPr="00DF0FBC">
        <w:rPr>
          <w:rFonts w:eastAsiaTheme="minorHAnsi"/>
          <w:b/>
          <w:bCs/>
          <w:color w:val="2658A5"/>
          <w:sz w:val="32"/>
          <w:szCs w:val="32"/>
          <w:lang w:val="en-GB"/>
        </w:rPr>
        <w:t>In the second quarter of this year, the CTIA carried out inspections of second-hand shops and pawnshops. It found breaches of legal regulations in more than 40 per cent of the inspections carried out</w:t>
      </w:r>
    </w:p>
    <w:p w14:paraId="60A5D7A8" w14:textId="77777777" w:rsidR="00DF0FBC" w:rsidRPr="00DF0FBC" w:rsidRDefault="00DF0FBC" w:rsidP="00DF0FBC">
      <w:pPr>
        <w:pStyle w:val="Default"/>
        <w:spacing w:after="200"/>
        <w:jc w:val="both"/>
        <w:rPr>
          <w:sz w:val="20"/>
          <w:szCs w:val="20"/>
          <w:lang w:val="en-GB"/>
        </w:rPr>
      </w:pPr>
      <w:r w:rsidRPr="00DF0FBC">
        <w:rPr>
          <w:sz w:val="20"/>
          <w:szCs w:val="20"/>
          <w:lang w:val="en-GB"/>
        </w:rPr>
        <w:t xml:space="preserve">(Prague, 18 August 2026) </w:t>
      </w:r>
      <w:r w:rsidRPr="00DF0FBC">
        <w:rPr>
          <w:b/>
          <w:bCs/>
          <w:sz w:val="20"/>
          <w:szCs w:val="20"/>
          <w:lang w:val="en-GB"/>
        </w:rPr>
        <w:t>As part of an inspection activity in the second quarter of this year, the Czech Trade Inspection Authority carried out 67 inspections of second-hand shops, pawnshops and antique shops. It found breaches of legal regulations falling within the CTIA’s surveillance scope in 28 inspections (i.e. 41.79 per cent of the inspections carried out).</w:t>
      </w:r>
    </w:p>
    <w:p w14:paraId="554F44B6" w14:textId="77777777" w:rsidR="00DF0FBC" w:rsidRPr="00DF0FBC" w:rsidRDefault="00DF0FBC" w:rsidP="00DF0FBC">
      <w:pPr>
        <w:pStyle w:val="Default"/>
        <w:spacing w:after="200"/>
        <w:jc w:val="both"/>
        <w:rPr>
          <w:sz w:val="20"/>
          <w:szCs w:val="20"/>
          <w:lang w:val="en-GB"/>
        </w:rPr>
      </w:pPr>
      <w:r w:rsidRPr="00DF0FBC">
        <w:rPr>
          <w:sz w:val="20"/>
          <w:szCs w:val="20"/>
          <w:lang w:val="en-GB"/>
        </w:rPr>
        <w:t>The aim of the campaign was to verify compliance with the obligations imposed on operators of second-hand shops, pawnshops and auction houses by Act No. 253/2008 Coll., on Certain Measures against the Legalization of Proceeds of Crime and the Financing of Terrorism, Act No. 247/2006 Coll., on Restrictions of Night Operations of Pawnshops and Other Establishments, Act No. 634/1992 Coll., on Consumer Protection, and other legal regulations. Within the inspection activity, e-shops selling second-hand or used goods were also inspected.</w:t>
      </w:r>
    </w:p>
    <w:p w14:paraId="5D0BDD8C" w14:textId="77777777" w:rsidR="00DF0FBC" w:rsidRPr="00DF0FBC" w:rsidRDefault="00DF0FBC" w:rsidP="00DF0FBC">
      <w:pPr>
        <w:pStyle w:val="Default"/>
        <w:spacing w:after="200"/>
        <w:jc w:val="both"/>
        <w:rPr>
          <w:sz w:val="20"/>
          <w:szCs w:val="20"/>
          <w:lang w:val="en-GB"/>
        </w:rPr>
      </w:pPr>
      <w:r w:rsidRPr="00DF0FBC">
        <w:rPr>
          <w:b/>
          <w:bCs/>
          <w:sz w:val="20"/>
          <w:szCs w:val="20"/>
          <w:lang w:val="en-GB"/>
        </w:rPr>
        <w:t xml:space="preserve">There were 11 breaches of one or more provisions of Act No. 253/2008 Coll., on Certain Measures against the Legalization of Proceeds of Crime and the Financing of Terrorism, identified during inspections. There were a total of 16 cases: in 8 cases, the obliged entities within the meaning of this Act failed to identify the customer </w:t>
      </w:r>
      <w:r w:rsidRPr="00DF0FBC">
        <w:rPr>
          <w:sz w:val="20"/>
          <w:szCs w:val="20"/>
          <w:lang w:val="en-GB"/>
        </w:rPr>
        <w:t>(Section 7)</w:t>
      </w:r>
      <w:r w:rsidRPr="00DF0FBC">
        <w:rPr>
          <w:b/>
          <w:bCs/>
          <w:sz w:val="20"/>
          <w:szCs w:val="20"/>
          <w:lang w:val="en-GB"/>
        </w:rPr>
        <w:t xml:space="preserve">, in 6 cases the obliged entity failed to carry out an inspection of the customer </w:t>
      </w:r>
      <w:r w:rsidRPr="00DF0FBC">
        <w:rPr>
          <w:sz w:val="20"/>
          <w:szCs w:val="20"/>
          <w:lang w:val="en-GB"/>
        </w:rPr>
        <w:t xml:space="preserve">(Section 9) and </w:t>
      </w:r>
      <w:r w:rsidRPr="00DF0FBC">
        <w:rPr>
          <w:b/>
          <w:bCs/>
          <w:sz w:val="20"/>
          <w:szCs w:val="20"/>
          <w:lang w:val="en-GB"/>
        </w:rPr>
        <w:t>in 2 cases the obliged entity failed to ensure that staff were trained</w:t>
      </w:r>
      <w:r w:rsidRPr="00DF0FBC">
        <w:rPr>
          <w:sz w:val="20"/>
          <w:szCs w:val="20"/>
          <w:lang w:val="en-GB"/>
        </w:rPr>
        <w:t xml:space="preserve"> </w:t>
      </w:r>
      <w:r w:rsidRPr="00DF0FBC">
        <w:rPr>
          <w:b/>
          <w:bCs/>
          <w:sz w:val="20"/>
          <w:szCs w:val="20"/>
          <w:lang w:val="en-GB"/>
        </w:rPr>
        <w:t xml:space="preserve">in accordance with the requirements </w:t>
      </w:r>
      <w:r w:rsidRPr="00DF0FBC">
        <w:rPr>
          <w:sz w:val="20"/>
          <w:szCs w:val="20"/>
          <w:lang w:val="en-GB"/>
        </w:rPr>
        <w:t xml:space="preserve">of Section 23 </w:t>
      </w:r>
      <w:r w:rsidRPr="00DF0FBC">
        <w:rPr>
          <w:b/>
          <w:bCs/>
          <w:sz w:val="20"/>
          <w:szCs w:val="20"/>
          <w:lang w:val="en-GB"/>
        </w:rPr>
        <w:t>of this Act.</w:t>
      </w:r>
    </w:p>
    <w:p w14:paraId="2B3F1F20" w14:textId="77777777" w:rsidR="00DF0FBC" w:rsidRPr="00DF0FBC" w:rsidRDefault="00DF0FBC" w:rsidP="00DF0FBC">
      <w:pPr>
        <w:pStyle w:val="Default"/>
        <w:spacing w:after="200"/>
        <w:jc w:val="both"/>
        <w:rPr>
          <w:sz w:val="20"/>
          <w:szCs w:val="20"/>
          <w:lang w:val="en-GB"/>
        </w:rPr>
      </w:pPr>
      <w:r w:rsidRPr="00DF0FBC">
        <w:rPr>
          <w:sz w:val="20"/>
          <w:szCs w:val="20"/>
          <w:lang w:val="en-GB"/>
        </w:rPr>
        <w:t xml:space="preserve">Furthermore, 35 cases of </w:t>
      </w:r>
      <w:r w:rsidRPr="00DF0FBC">
        <w:rPr>
          <w:b/>
          <w:bCs/>
          <w:sz w:val="20"/>
          <w:szCs w:val="20"/>
          <w:lang w:val="en-GB"/>
        </w:rPr>
        <w:t>infringements of one of the provisions of the Act No. 634/1992 Coll., on Consumer Protection</w:t>
      </w:r>
      <w:r w:rsidRPr="00DF0FBC">
        <w:rPr>
          <w:sz w:val="20"/>
          <w:szCs w:val="20"/>
          <w:lang w:val="en-GB"/>
        </w:rPr>
        <w:t xml:space="preserve"> were identified during the inspections, the most common of which were: </w:t>
      </w:r>
    </w:p>
    <w:p w14:paraId="2F99CB3E" w14:textId="77777777" w:rsidR="00DF0FBC" w:rsidRPr="00DF0FBC" w:rsidRDefault="00DF0FBC" w:rsidP="00DF0FBC">
      <w:pPr>
        <w:pStyle w:val="Default"/>
        <w:spacing w:after="200"/>
        <w:jc w:val="both"/>
        <w:rPr>
          <w:sz w:val="20"/>
          <w:szCs w:val="20"/>
          <w:lang w:val="en-GB"/>
        </w:rPr>
      </w:pPr>
      <w:r w:rsidRPr="00DF0FBC">
        <w:rPr>
          <w:sz w:val="20"/>
          <w:szCs w:val="20"/>
          <w:lang w:val="en-GB"/>
        </w:rPr>
        <w:t xml:space="preserve">· </w:t>
      </w:r>
      <w:proofErr w:type="gramStart"/>
      <w:r w:rsidRPr="00DF0FBC">
        <w:rPr>
          <w:sz w:val="20"/>
          <w:szCs w:val="20"/>
          <w:lang w:val="en-GB"/>
        </w:rPr>
        <w:t>in</w:t>
      </w:r>
      <w:proofErr w:type="gramEnd"/>
      <w:r w:rsidRPr="00DF0FBC">
        <w:rPr>
          <w:sz w:val="20"/>
          <w:szCs w:val="20"/>
          <w:lang w:val="en-GB"/>
        </w:rPr>
        <w:t xml:space="preserve"> 9 cases, sellers failed to indicate on the proof of purchase that the product was second-hand or defective (Section 16(3));</w:t>
      </w:r>
    </w:p>
    <w:p w14:paraId="3A16E157" w14:textId="77777777" w:rsidR="00DF0FBC" w:rsidRPr="00DF0FBC" w:rsidRDefault="00DF0FBC" w:rsidP="00DF0FBC">
      <w:pPr>
        <w:pStyle w:val="Default"/>
        <w:spacing w:after="200"/>
        <w:jc w:val="both"/>
        <w:rPr>
          <w:sz w:val="20"/>
          <w:szCs w:val="20"/>
          <w:lang w:val="en-GB"/>
        </w:rPr>
      </w:pPr>
      <w:r w:rsidRPr="00DF0FBC">
        <w:rPr>
          <w:sz w:val="20"/>
          <w:szCs w:val="20"/>
          <w:lang w:val="en-GB"/>
        </w:rPr>
        <w:t xml:space="preserve">· </w:t>
      </w:r>
      <w:proofErr w:type="gramStart"/>
      <w:r w:rsidRPr="00DF0FBC">
        <w:rPr>
          <w:sz w:val="20"/>
          <w:szCs w:val="20"/>
          <w:lang w:val="en-GB"/>
        </w:rPr>
        <w:t>in</w:t>
      </w:r>
      <w:proofErr w:type="gramEnd"/>
      <w:r w:rsidRPr="00DF0FBC">
        <w:rPr>
          <w:sz w:val="20"/>
          <w:szCs w:val="20"/>
          <w:lang w:val="en-GB"/>
        </w:rPr>
        <w:t xml:space="preserve"> 8 cases, sellers failed to properly inform consumers of the scope, conditions and procedure for exercising their rights arising from defective performance, together with details of where a complaint could be lodged (Section 13(1));</w:t>
      </w:r>
    </w:p>
    <w:p w14:paraId="1ACF9BF4" w14:textId="77777777" w:rsidR="00DF0FBC" w:rsidRPr="00DF0FBC" w:rsidRDefault="00DF0FBC" w:rsidP="00DF0FBC">
      <w:pPr>
        <w:pStyle w:val="Default"/>
        <w:spacing w:after="200"/>
        <w:jc w:val="both"/>
        <w:rPr>
          <w:sz w:val="20"/>
          <w:szCs w:val="20"/>
          <w:lang w:val="en-GB"/>
        </w:rPr>
      </w:pPr>
      <w:r w:rsidRPr="00DF0FBC">
        <w:rPr>
          <w:sz w:val="20"/>
          <w:szCs w:val="20"/>
          <w:lang w:val="en-GB"/>
        </w:rPr>
        <w:t xml:space="preserve">· </w:t>
      </w:r>
      <w:proofErr w:type="gramStart"/>
      <w:r w:rsidRPr="00DF0FBC">
        <w:rPr>
          <w:sz w:val="20"/>
          <w:szCs w:val="20"/>
          <w:lang w:val="en-GB"/>
        </w:rPr>
        <w:t>in</w:t>
      </w:r>
      <w:proofErr w:type="gramEnd"/>
      <w:r w:rsidRPr="00DF0FBC">
        <w:rPr>
          <w:sz w:val="20"/>
          <w:szCs w:val="20"/>
          <w:lang w:val="en-GB"/>
        </w:rPr>
        <w:t xml:space="preserve"> 6 cases, a breach was found of the seller’s obligation to properly inform consumers of the price of the goods offered and the services provided (Section 12);</w:t>
      </w:r>
    </w:p>
    <w:p w14:paraId="299E8ED9" w14:textId="77777777" w:rsidR="00DF0FBC" w:rsidRPr="00DF0FBC" w:rsidRDefault="00DF0FBC" w:rsidP="00DF0FBC">
      <w:pPr>
        <w:pStyle w:val="Default"/>
        <w:spacing w:after="200"/>
        <w:jc w:val="both"/>
        <w:rPr>
          <w:sz w:val="20"/>
          <w:szCs w:val="20"/>
          <w:lang w:val="en-GB"/>
        </w:rPr>
      </w:pPr>
      <w:r w:rsidRPr="00DF0FBC">
        <w:rPr>
          <w:sz w:val="20"/>
          <w:szCs w:val="20"/>
          <w:lang w:val="en-GB"/>
        </w:rPr>
        <w:t xml:space="preserve">· </w:t>
      </w:r>
      <w:proofErr w:type="gramStart"/>
      <w:r w:rsidRPr="00DF0FBC">
        <w:rPr>
          <w:sz w:val="20"/>
          <w:szCs w:val="20"/>
          <w:lang w:val="en-GB"/>
        </w:rPr>
        <w:t>in</w:t>
      </w:r>
      <w:proofErr w:type="gramEnd"/>
      <w:r w:rsidRPr="00DF0FBC">
        <w:rPr>
          <w:sz w:val="20"/>
          <w:szCs w:val="20"/>
          <w:lang w:val="en-GB"/>
        </w:rPr>
        <w:t xml:space="preserve"> 6 cases, sellers failed to inform consumers about the body responsible for the out-of-court resolution of consumer disputes (Section 14(1));</w:t>
      </w:r>
    </w:p>
    <w:p w14:paraId="42DADEF1" w14:textId="77777777" w:rsidR="00DF0FBC" w:rsidRPr="00DF0FBC" w:rsidRDefault="00DF0FBC" w:rsidP="00DF0FBC">
      <w:pPr>
        <w:pStyle w:val="Default"/>
        <w:spacing w:after="200"/>
        <w:jc w:val="both"/>
        <w:rPr>
          <w:sz w:val="20"/>
          <w:szCs w:val="20"/>
          <w:lang w:val="en-GB"/>
        </w:rPr>
      </w:pPr>
      <w:r w:rsidRPr="00DF0FBC">
        <w:rPr>
          <w:sz w:val="20"/>
          <w:szCs w:val="20"/>
          <w:lang w:val="en-GB"/>
        </w:rPr>
        <w:t xml:space="preserve">· </w:t>
      </w:r>
      <w:proofErr w:type="gramStart"/>
      <w:r w:rsidRPr="00DF0FBC">
        <w:rPr>
          <w:sz w:val="20"/>
          <w:szCs w:val="20"/>
          <w:lang w:val="en-GB"/>
        </w:rPr>
        <w:t>in</w:t>
      </w:r>
      <w:proofErr w:type="gramEnd"/>
      <w:r w:rsidRPr="00DF0FBC">
        <w:rPr>
          <w:sz w:val="20"/>
          <w:szCs w:val="20"/>
          <w:lang w:val="en-GB"/>
        </w:rPr>
        <w:t xml:space="preserve"> 4 cases, sellers failed to clearly inform consumers in advance that the products being sold were second-hand, modified or defective (Section 10);</w:t>
      </w:r>
    </w:p>
    <w:p w14:paraId="61A7A1A9" w14:textId="77777777" w:rsidR="00DF0FBC" w:rsidRPr="00DF0FBC" w:rsidRDefault="00DF0FBC" w:rsidP="00DF0FBC">
      <w:pPr>
        <w:pStyle w:val="Default"/>
        <w:spacing w:after="200"/>
        <w:jc w:val="both"/>
        <w:rPr>
          <w:sz w:val="20"/>
          <w:szCs w:val="20"/>
          <w:lang w:val="en-GB"/>
        </w:rPr>
      </w:pPr>
      <w:r w:rsidRPr="00DF0FBC">
        <w:rPr>
          <w:sz w:val="20"/>
          <w:szCs w:val="20"/>
          <w:lang w:val="en-GB"/>
        </w:rPr>
        <w:t xml:space="preserve">· </w:t>
      </w:r>
      <w:proofErr w:type="gramStart"/>
      <w:r w:rsidRPr="00DF0FBC">
        <w:rPr>
          <w:sz w:val="20"/>
          <w:szCs w:val="20"/>
          <w:lang w:val="en-GB"/>
        </w:rPr>
        <w:t>in</w:t>
      </w:r>
      <w:proofErr w:type="gramEnd"/>
      <w:r w:rsidRPr="00DF0FBC">
        <w:rPr>
          <w:sz w:val="20"/>
          <w:szCs w:val="20"/>
          <w:lang w:val="en-GB"/>
        </w:rPr>
        <w:t xml:space="preserve"> 2 cases, sellers failed to issue a proof of purchase, or the proof of purchase did not contain the information required by law (Section 16(1)).</w:t>
      </w:r>
    </w:p>
    <w:p w14:paraId="76F1AFA0" w14:textId="77777777" w:rsidR="00DF0FBC" w:rsidRPr="00DF0FBC" w:rsidRDefault="00DF0FBC" w:rsidP="00DF0FBC">
      <w:pPr>
        <w:pStyle w:val="Default"/>
        <w:spacing w:after="200"/>
        <w:jc w:val="both"/>
        <w:rPr>
          <w:sz w:val="20"/>
          <w:szCs w:val="20"/>
          <w:lang w:val="en-GB"/>
        </w:rPr>
      </w:pPr>
      <w:r w:rsidRPr="00DF0FBC">
        <w:rPr>
          <w:sz w:val="20"/>
          <w:szCs w:val="20"/>
          <w:lang w:val="en-GB"/>
        </w:rPr>
        <w:t>In a few cases (nine in total), breaches of other legal regulations falling within the scope of the CTIA’s surveillance were also identified. No breaches of Act No. 247/2006 Coll., on Restrictions of Night Operations of Pawnshops and Other Establishments, were identified within the inspection activity.</w:t>
      </w:r>
    </w:p>
    <w:p w14:paraId="30EB8829" w14:textId="77777777" w:rsidR="00DF0FBC" w:rsidRPr="00DF0FBC" w:rsidRDefault="00DF0FBC" w:rsidP="00DF0FBC">
      <w:pPr>
        <w:pStyle w:val="Default"/>
        <w:spacing w:after="200"/>
        <w:jc w:val="both"/>
        <w:rPr>
          <w:sz w:val="20"/>
          <w:szCs w:val="20"/>
          <w:lang w:val="en-GB"/>
        </w:rPr>
      </w:pPr>
      <w:r w:rsidRPr="00DF0FBC">
        <w:rPr>
          <w:sz w:val="20"/>
          <w:szCs w:val="20"/>
          <w:lang w:val="en-GB"/>
        </w:rPr>
        <w:t xml:space="preserve">A total of 60 cases of breaches of legal regulations were identified within this inspection activity. In some inspections, breaches of several laws, or specific provisions thereof, were identified simultaneously. </w:t>
      </w:r>
    </w:p>
    <w:p w14:paraId="56D34A42" w14:textId="77777777" w:rsidR="00DF0FBC" w:rsidRPr="00DF0FBC" w:rsidRDefault="00DF0FBC" w:rsidP="00DF0FBC">
      <w:pPr>
        <w:pStyle w:val="Default"/>
        <w:spacing w:after="200"/>
        <w:jc w:val="both"/>
        <w:rPr>
          <w:sz w:val="20"/>
          <w:szCs w:val="20"/>
          <w:lang w:val="en-GB"/>
        </w:rPr>
      </w:pPr>
      <w:r w:rsidRPr="00DF0FBC">
        <w:rPr>
          <w:sz w:val="20"/>
          <w:szCs w:val="20"/>
          <w:lang w:val="en-GB"/>
        </w:rPr>
        <w:lastRenderedPageBreak/>
        <w:t xml:space="preserve">Based on the identified breaches of legal regulations within the CTIA’s surveillance scope, </w:t>
      </w:r>
      <w:r w:rsidRPr="00DF0FBC">
        <w:rPr>
          <w:b/>
          <w:bCs/>
          <w:sz w:val="20"/>
          <w:szCs w:val="20"/>
          <w:lang w:val="en-GB"/>
        </w:rPr>
        <w:t>a total of 28 fines, amounting to 67,000 CZK, came into force between 1 April 2026 and 30 June 2026</w:t>
      </w:r>
      <w:r w:rsidRPr="00DF0FBC">
        <w:rPr>
          <w:sz w:val="20"/>
          <w:szCs w:val="20"/>
          <w:lang w:val="en-GB"/>
        </w:rPr>
        <w:t>.</w:t>
      </w:r>
    </w:p>
    <w:p w14:paraId="02D4BD1E" w14:textId="77777777" w:rsidR="00DF0FBC" w:rsidRPr="00DF0FBC" w:rsidRDefault="00DF0FBC" w:rsidP="00DF0FBC">
      <w:pPr>
        <w:pStyle w:val="Default"/>
        <w:spacing w:after="200"/>
        <w:jc w:val="both"/>
        <w:rPr>
          <w:sz w:val="20"/>
          <w:szCs w:val="20"/>
          <w:lang w:val="en-GB"/>
        </w:rPr>
      </w:pPr>
      <w:r w:rsidRPr="00DF0FBC">
        <w:rPr>
          <w:sz w:val="20"/>
          <w:szCs w:val="20"/>
          <w:lang w:val="en-GB"/>
        </w:rPr>
        <w:t>The results for the second quarter confirmed the validity of the inspection activity, as breaches of legal regulations were identified in more than 40 per cent of the inspections carried out. The CTIA will continue to focus on inspection activities in this area in the upcoming period.</w:t>
      </w:r>
    </w:p>
    <w:p w14:paraId="4F93BED4" w14:textId="3667D408" w:rsidR="00901E88" w:rsidRPr="00DF0FBC" w:rsidRDefault="00543844" w:rsidP="00DF0FBC">
      <w:pPr>
        <w:pStyle w:val="Default"/>
        <w:spacing w:after="200"/>
        <w:jc w:val="both"/>
        <w:rPr>
          <w:sz w:val="20"/>
          <w:szCs w:val="20"/>
          <w:lang w:val="en-GB"/>
        </w:rPr>
      </w:pPr>
      <w:r w:rsidRPr="00DF0FBC">
        <w:rPr>
          <w:sz w:val="20"/>
          <w:szCs w:val="20"/>
          <w:lang w:val="en-GB"/>
        </w:rPr>
        <w:t xml:space="preserve"> </w:t>
      </w:r>
    </w:p>
    <w:sectPr w:rsidR="00901E88" w:rsidRPr="00DF0FBC" w:rsidSect="00663C7B">
      <w:headerReference w:type="default" r:id="rId9"/>
      <w:footerReference w:type="default" r:id="rId10"/>
      <w:pgSz w:w="11906" w:h="16838"/>
      <w:pgMar w:top="1134" w:right="1417" w:bottom="1701" w:left="1417"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E35CE" w14:textId="77777777" w:rsidR="00F21DE3" w:rsidRDefault="00F21DE3" w:rsidP="00807D68">
      <w:pPr>
        <w:spacing w:after="0" w:line="240" w:lineRule="auto"/>
      </w:pPr>
      <w:r>
        <w:separator/>
      </w:r>
    </w:p>
  </w:endnote>
  <w:endnote w:type="continuationSeparator" w:id="0">
    <w:p w14:paraId="677FEE24" w14:textId="77777777" w:rsidR="00F21DE3" w:rsidRDefault="00F21DE3" w:rsidP="00807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8E89E" w14:textId="77777777" w:rsidR="00FD2054" w:rsidRPr="000B3C18" w:rsidRDefault="00FD2054" w:rsidP="00FD2054">
    <w:pPr>
      <w:spacing w:line="276" w:lineRule="auto"/>
      <w:ind w:left="5664" w:firstLine="708"/>
      <w:rPr>
        <w:rFonts w:ascii="Arial" w:hAnsi="Arial" w:cs="Arial"/>
        <w:bCs/>
        <w:color w:val="2658A5"/>
        <w:sz w:val="18"/>
        <w:szCs w:val="18"/>
      </w:rPr>
    </w:pPr>
    <w:r w:rsidRPr="000B3C18">
      <w:rPr>
        <w:rFonts w:ascii="Arial" w:hAnsi="Arial" w:cs="Arial"/>
        <w:noProof/>
        <w:color w:val="2658A5"/>
        <w:sz w:val="18"/>
        <w:szCs w:val="18"/>
        <w:lang w:eastAsia="cs-CZ"/>
      </w:rPr>
      <mc:AlternateContent>
        <mc:Choice Requires="wps">
          <w:drawing>
            <wp:anchor distT="0" distB="0" distL="114300" distR="114300" simplePos="0" relativeHeight="251659264" behindDoc="1" locked="0" layoutInCell="1" allowOverlap="1" wp14:anchorId="303B3963" wp14:editId="6B155AC3">
              <wp:simplePos x="0" y="0"/>
              <wp:positionH relativeFrom="column">
                <wp:posOffset>3472180</wp:posOffset>
              </wp:positionH>
              <wp:positionV relativeFrom="paragraph">
                <wp:posOffset>10160</wp:posOffset>
              </wp:positionV>
              <wp:extent cx="2361564" cy="653414"/>
              <wp:effectExtent l="0" t="0" r="1270" b="1270"/>
              <wp:wrapNone/>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1564" cy="653414"/>
                      </a:xfrm>
                      <a:prstGeom prst="rect">
                        <a:avLst/>
                      </a:prstGeom>
                      <a:solidFill>
                        <a:srgbClr val="FFFFFF"/>
                      </a:solidFill>
                      <a:ln w="9525">
                        <a:noFill/>
                        <a:miter lim="800000"/>
                        <a:headEnd/>
                        <a:tailEnd/>
                      </a:ln>
                    </wps:spPr>
                    <wps:txbx>
                      <w:txbxContent>
                        <w:p w14:paraId="291E7047" w14:textId="77777777" w:rsidR="00FD2054" w:rsidRPr="007F2BC4" w:rsidRDefault="00FD2054" w:rsidP="00FD2054">
                          <w:pPr>
                            <w:jc w:val="right"/>
                            <w:rPr>
                              <w:rFonts w:ascii="Arial" w:hAnsi="Arial" w:cs="Arial"/>
                              <w:sz w:val="18"/>
                              <w:szCs w:val="18"/>
                              <w:lang w:val="fr-FR"/>
                            </w:rPr>
                          </w:pPr>
                          <w:r w:rsidRPr="007F2BC4">
                            <w:rPr>
                              <w:rFonts w:ascii="Arial" w:hAnsi="Arial" w:cs="Arial"/>
                              <w:bCs/>
                              <w:color w:val="2658A5"/>
                              <w:sz w:val="18"/>
                              <w:szCs w:val="18"/>
                              <w:lang w:val="fr-FR"/>
                            </w:rPr>
                            <w:t>Phone: +420 296 366 233</w:t>
                          </w:r>
                          <w:r w:rsidRPr="007F2BC4">
                            <w:rPr>
                              <w:rFonts w:ascii="Arial" w:hAnsi="Arial" w:cs="Arial"/>
                              <w:bCs/>
                              <w:color w:val="2658A5"/>
                              <w:sz w:val="18"/>
                              <w:szCs w:val="18"/>
                              <w:lang w:val="fr-FR"/>
                            </w:rPr>
                            <w:br/>
                            <w:t>Mobile: +420 731 553 732</w:t>
                          </w:r>
                          <w:r w:rsidRPr="007F2BC4">
                            <w:rPr>
                              <w:rFonts w:ascii="Arial" w:hAnsi="Arial" w:cs="Arial"/>
                              <w:bCs/>
                              <w:color w:val="2658A5"/>
                              <w:sz w:val="18"/>
                              <w:szCs w:val="18"/>
                              <w:lang w:val="fr-FR"/>
                            </w:rPr>
                            <w:br/>
                            <w:t>E-mail: mluvci@coi.gov.cz</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type w14:anchorId="303B3963" id="_x0000_t202" coordsize="21600,21600" o:spt="202" path="m,l,21600r21600,l21600,xe">
              <v:stroke joinstyle="miter"/>
              <v:path gradientshapeok="t" o:connecttype="rect"/>
            </v:shapetype>
            <v:shape id="Textové pole 2" o:spid="_x0000_s1026" type="#_x0000_t202" style="position:absolute;left:0;text-align:left;margin-left:273.4pt;margin-top:.8pt;width:185.95pt;height:5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" stroked="f">
              <v:textbox style="mso-fit-shape-to-text:t">
                <w:txbxContent>
                  <w:p w14:paraId="291E7047" w14:textId="77777777" w:rsidR="00FD2054" w:rsidRPr="007F2BC4" w:rsidRDefault="00FD2054" w:rsidP="00FD2054">
                    <w:pPr>
                      <w:jc w:val="right"/>
                      <w:rPr>
                        <w:rFonts w:ascii="Arial" w:hAnsi="Arial" w:cs="Arial"/>
                        <w:sz w:val="18"/>
                        <w:szCs w:val="18"/>
                        <w:lang w:val="fr-FR"/>
                      </w:rPr>
                    </w:pPr>
                    <w:r w:rsidRPr="007F2BC4">
                      <w:rPr>
                        <w:rFonts w:ascii="Arial" w:hAnsi="Arial" w:cs="Arial"/>
                        <w:bCs/>
                        <w:color w:val="2658A5"/>
                        <w:sz w:val="18"/>
                        <w:szCs w:val="18"/>
                        <w:lang w:val="fr-FR"/>
                      </w:rPr>
                      <w:t>Phone: +420 296 366 233</w:t>
                    </w:r>
                    <w:r w:rsidRPr="007F2BC4">
                      <w:rPr>
                        <w:rFonts w:ascii="Arial" w:hAnsi="Arial" w:cs="Arial"/>
                        <w:bCs/>
                        <w:color w:val="2658A5"/>
                        <w:sz w:val="18"/>
                        <w:szCs w:val="18"/>
                        <w:lang w:val="fr-FR"/>
                      </w:rPr>
                      <w:br/>
                      <w:t>Mobile: +420 731 553 732</w:t>
                    </w:r>
                    <w:r w:rsidRPr="007F2BC4">
                      <w:rPr>
                        <w:rFonts w:ascii="Arial" w:hAnsi="Arial" w:cs="Arial"/>
                        <w:bCs/>
                        <w:color w:val="2658A5"/>
                        <w:sz w:val="18"/>
                        <w:szCs w:val="18"/>
                        <w:lang w:val="fr-FR"/>
                      </w:rPr>
                      <w:br/>
                      <w:t>E-mail: mluvci@coi.gov.cz</w:t>
                    </w:r>
                  </w:p>
                </w:txbxContent>
              </v:textbox>
            </v:shape>
          </w:pict>
        </mc:Fallback>
      </mc:AlternateContent>
    </w:r>
    <w:r w:rsidRPr="000B3C18">
      <w:rPr>
        <w:rFonts w:ascii="Arial" w:hAnsi="Arial" w:cs="Arial"/>
        <w:noProof/>
        <w:color w:val="2658A5"/>
        <w:sz w:val="18"/>
        <w:szCs w:val="18"/>
        <w:lang w:eastAsia="cs-CZ"/>
      </w:rPr>
      <mc:AlternateContent>
        <mc:Choice Requires="wps">
          <w:drawing>
            <wp:anchor distT="0" distB="0" distL="114300" distR="114300" simplePos="0" relativeHeight="251660288" behindDoc="1" locked="0" layoutInCell="1" allowOverlap="1" wp14:anchorId="2D47D5D7" wp14:editId="37E35B45">
              <wp:simplePos x="0" y="0"/>
              <wp:positionH relativeFrom="column">
                <wp:posOffset>-109220</wp:posOffset>
              </wp:positionH>
              <wp:positionV relativeFrom="paragraph">
                <wp:posOffset>7620</wp:posOffset>
              </wp:positionV>
              <wp:extent cx="2085975" cy="1404620"/>
              <wp:effectExtent l="0" t="0" r="9525" b="9525"/>
              <wp:wrapNone/>
              <wp:docPr id="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404620"/>
                      </a:xfrm>
                      <a:prstGeom prst="rect">
                        <a:avLst/>
                      </a:prstGeom>
                      <a:solidFill>
                        <a:srgbClr val="FFFFFF"/>
                      </a:solidFill>
                      <a:ln w="9525">
                        <a:noFill/>
                        <a:miter lim="800000"/>
                        <a:headEnd/>
                        <a:tailEnd/>
                      </a:ln>
                    </wps:spPr>
                    <wps:txbx>
                      <w:txbxContent>
                        <w:p w14:paraId="0FC60DB7" w14:textId="77777777" w:rsidR="00FD2054" w:rsidRPr="00DC6D14" w:rsidRDefault="00FD2054" w:rsidP="00FD2054">
                          <w:pPr>
                            <w:rPr>
                              <w:rFonts w:ascii="Arial" w:hAnsi="Arial" w:cs="Arial"/>
                              <w:sz w:val="18"/>
                              <w:szCs w:val="18"/>
                              <w:lang w:val="en-GB"/>
                            </w:rPr>
                          </w:pPr>
                          <w:r w:rsidRPr="00DC6D14">
                            <w:rPr>
                              <w:rFonts w:ascii="Arial" w:hAnsi="Arial" w:cs="Arial"/>
                              <w:color w:val="2658A5"/>
                              <w:sz w:val="18"/>
                              <w:szCs w:val="18"/>
                              <w:lang w:val="en-GB"/>
                            </w:rPr>
                            <w:t>Contact: Spokesperson of the CTIA</w:t>
                          </w:r>
                          <w:r w:rsidRPr="00DC6D14">
                            <w:rPr>
                              <w:rFonts w:ascii="Arial" w:hAnsi="Arial" w:cs="Arial"/>
                              <w:color w:val="2658A5"/>
                              <w:sz w:val="18"/>
                              <w:szCs w:val="18"/>
                              <w:lang w:val="en-GB"/>
                            </w:rPr>
                            <w:br/>
                            <w:t>Mgr. František Kotrba</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2D47D5D7" id="_x0000_s1027" type="#_x0000_t202" style="position:absolute;left:0;text-align:left;margin-left:-8.6pt;margin-top:.6pt;width:164.25pt;height:110.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" stroked="f">
              <v:textbox style="mso-fit-shape-to-text:t">
                <w:txbxContent>
                  <w:p w14:paraId="0FC60DB7" w14:textId="77777777" w:rsidR="00FD2054" w:rsidRPr="00DC6D14" w:rsidRDefault="00FD2054" w:rsidP="00FD2054">
                    <w:pPr>
                      <w:rPr>
                        <w:rFonts w:ascii="Arial" w:hAnsi="Arial" w:cs="Arial"/>
                        <w:sz w:val="18"/>
                        <w:szCs w:val="18"/>
                        <w:lang w:val="en-GB"/>
                      </w:rPr>
                    </w:pPr>
                    <w:r w:rsidRPr="00DC6D14">
                      <w:rPr>
                        <w:rFonts w:ascii="Arial" w:hAnsi="Arial" w:cs="Arial"/>
                        <w:color w:val="2658A5"/>
                        <w:sz w:val="18"/>
                        <w:szCs w:val="18"/>
                        <w:lang w:val="en-GB"/>
                      </w:rPr>
                      <w:t>Contact: Spokesperson of the CTIA</w:t>
                    </w:r>
                    <w:r w:rsidRPr="00DC6D14">
                      <w:rPr>
                        <w:rFonts w:ascii="Arial" w:hAnsi="Arial" w:cs="Arial"/>
                        <w:color w:val="2658A5"/>
                        <w:sz w:val="18"/>
                        <w:szCs w:val="18"/>
                        <w:lang w:val="en-GB"/>
                      </w:rPr>
                      <w:br/>
                      <w:t>Mgr. František Kotrba</w:t>
                    </w:r>
                  </w:p>
                </w:txbxContent>
              </v:textbox>
            </v:shape>
          </w:pict>
        </mc:Fallback>
      </mc:AlternateContent>
    </w:r>
  </w:p>
  <w:p w14:paraId="2E86EAD4" w14:textId="05F4D876" w:rsidR="00F34A6A" w:rsidRPr="00FD2054" w:rsidRDefault="00FD2054" w:rsidP="00FD2054">
    <w:pPr>
      <w:pStyle w:val="Zpat"/>
      <w:tabs>
        <w:tab w:val="clear" w:pos="4536"/>
        <w:tab w:val="clear" w:pos="9072"/>
        <w:tab w:val="left" w:pos="8280"/>
      </w:tabs>
      <w:rPr>
        <w:rFonts w:ascii="Arial" w:hAnsi="Arial" w:cs="Arial"/>
        <w:sz w:val="20"/>
        <w:szCs w:val="20"/>
      </w:rPr>
    </w:pP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5D955" w14:textId="77777777" w:rsidR="00F21DE3" w:rsidRDefault="00F21DE3" w:rsidP="00807D68">
      <w:pPr>
        <w:spacing w:after="0" w:line="240" w:lineRule="auto"/>
      </w:pPr>
      <w:r>
        <w:separator/>
      </w:r>
    </w:p>
  </w:footnote>
  <w:footnote w:type="continuationSeparator" w:id="0">
    <w:p w14:paraId="5B71998E" w14:textId="77777777" w:rsidR="00F21DE3" w:rsidRDefault="00F21DE3" w:rsidP="00807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FF505" w14:textId="77777777" w:rsidR="00807D68" w:rsidRDefault="00807D68">
    <w:pPr>
      <w:pStyle w:val="Zhlav"/>
    </w:pPr>
  </w:p>
  <w:p w14:paraId="03206D20" w14:textId="77777777" w:rsidR="00807D68" w:rsidRDefault="00807D6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35DF6"/>
    <w:multiLevelType w:val="hybridMultilevel"/>
    <w:tmpl w:val="FA3A3312"/>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18FB158A"/>
    <w:multiLevelType w:val="hybridMultilevel"/>
    <w:tmpl w:val="E362D29E"/>
    <w:lvl w:ilvl="0" w:tplc="90184EF8">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2" w15:restartNumberingAfterBreak="0">
    <w:nsid w:val="1CD43469"/>
    <w:multiLevelType w:val="hybridMultilevel"/>
    <w:tmpl w:val="79FE67E8"/>
    <w:lvl w:ilvl="0" w:tplc="CA5831CA">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E4628F9"/>
    <w:multiLevelType w:val="hybridMultilevel"/>
    <w:tmpl w:val="06E00EA2"/>
    <w:lvl w:ilvl="0" w:tplc="3DB81990">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8771E44"/>
    <w:multiLevelType w:val="hybridMultilevel"/>
    <w:tmpl w:val="86C49B60"/>
    <w:lvl w:ilvl="0" w:tplc="352E771C">
      <w:start w:val="1"/>
      <w:numFmt w:val="lowerLetter"/>
      <w:lvlText w:val="%1)"/>
      <w:lvlJc w:val="left"/>
      <w:pPr>
        <w:ind w:left="345" w:hanging="360"/>
      </w:pPr>
      <w:rPr>
        <w:rFonts w:ascii="Arial" w:eastAsiaTheme="minorHAnsi" w:hAnsi="Arial" w:cs="Arial"/>
      </w:rPr>
    </w:lvl>
    <w:lvl w:ilvl="1" w:tplc="04050003" w:tentative="1">
      <w:start w:val="1"/>
      <w:numFmt w:val="bullet"/>
      <w:lvlText w:val="o"/>
      <w:lvlJc w:val="left"/>
      <w:pPr>
        <w:ind w:left="1065" w:hanging="360"/>
      </w:pPr>
      <w:rPr>
        <w:rFonts w:ascii="Courier New" w:hAnsi="Courier New" w:cs="Courier New" w:hint="default"/>
      </w:rPr>
    </w:lvl>
    <w:lvl w:ilvl="2" w:tplc="04050005" w:tentative="1">
      <w:start w:val="1"/>
      <w:numFmt w:val="bullet"/>
      <w:lvlText w:val=""/>
      <w:lvlJc w:val="left"/>
      <w:pPr>
        <w:ind w:left="1785" w:hanging="360"/>
      </w:pPr>
      <w:rPr>
        <w:rFonts w:ascii="Wingdings" w:hAnsi="Wingdings" w:hint="default"/>
      </w:rPr>
    </w:lvl>
    <w:lvl w:ilvl="3" w:tplc="04050001" w:tentative="1">
      <w:start w:val="1"/>
      <w:numFmt w:val="bullet"/>
      <w:lvlText w:val=""/>
      <w:lvlJc w:val="left"/>
      <w:pPr>
        <w:ind w:left="2505" w:hanging="360"/>
      </w:pPr>
      <w:rPr>
        <w:rFonts w:ascii="Symbol" w:hAnsi="Symbol" w:hint="default"/>
      </w:rPr>
    </w:lvl>
    <w:lvl w:ilvl="4" w:tplc="04050003" w:tentative="1">
      <w:start w:val="1"/>
      <w:numFmt w:val="bullet"/>
      <w:lvlText w:val="o"/>
      <w:lvlJc w:val="left"/>
      <w:pPr>
        <w:ind w:left="3225" w:hanging="360"/>
      </w:pPr>
      <w:rPr>
        <w:rFonts w:ascii="Courier New" w:hAnsi="Courier New" w:cs="Courier New" w:hint="default"/>
      </w:rPr>
    </w:lvl>
    <w:lvl w:ilvl="5" w:tplc="04050005" w:tentative="1">
      <w:start w:val="1"/>
      <w:numFmt w:val="bullet"/>
      <w:lvlText w:val=""/>
      <w:lvlJc w:val="left"/>
      <w:pPr>
        <w:ind w:left="3945" w:hanging="360"/>
      </w:pPr>
      <w:rPr>
        <w:rFonts w:ascii="Wingdings" w:hAnsi="Wingdings" w:hint="default"/>
      </w:rPr>
    </w:lvl>
    <w:lvl w:ilvl="6" w:tplc="04050001" w:tentative="1">
      <w:start w:val="1"/>
      <w:numFmt w:val="bullet"/>
      <w:lvlText w:val=""/>
      <w:lvlJc w:val="left"/>
      <w:pPr>
        <w:ind w:left="4665" w:hanging="360"/>
      </w:pPr>
      <w:rPr>
        <w:rFonts w:ascii="Symbol" w:hAnsi="Symbol" w:hint="default"/>
      </w:rPr>
    </w:lvl>
    <w:lvl w:ilvl="7" w:tplc="04050003" w:tentative="1">
      <w:start w:val="1"/>
      <w:numFmt w:val="bullet"/>
      <w:lvlText w:val="o"/>
      <w:lvlJc w:val="left"/>
      <w:pPr>
        <w:ind w:left="5385" w:hanging="360"/>
      </w:pPr>
      <w:rPr>
        <w:rFonts w:ascii="Courier New" w:hAnsi="Courier New" w:cs="Courier New" w:hint="default"/>
      </w:rPr>
    </w:lvl>
    <w:lvl w:ilvl="8" w:tplc="04050005" w:tentative="1">
      <w:start w:val="1"/>
      <w:numFmt w:val="bullet"/>
      <w:lvlText w:val=""/>
      <w:lvlJc w:val="left"/>
      <w:pPr>
        <w:ind w:left="6105" w:hanging="360"/>
      </w:pPr>
      <w:rPr>
        <w:rFonts w:ascii="Wingdings" w:hAnsi="Wingdings" w:hint="default"/>
      </w:rPr>
    </w:lvl>
  </w:abstractNum>
  <w:abstractNum w:abstractNumId="5" w15:restartNumberingAfterBreak="0">
    <w:nsid w:val="2988097F"/>
    <w:multiLevelType w:val="hybridMultilevel"/>
    <w:tmpl w:val="DF9AB0D8"/>
    <w:lvl w:ilvl="0" w:tplc="066234B2">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6" w15:restartNumberingAfterBreak="0">
    <w:nsid w:val="3F5A1D76"/>
    <w:multiLevelType w:val="hybridMultilevel"/>
    <w:tmpl w:val="9BCA0DBC"/>
    <w:lvl w:ilvl="0" w:tplc="66261D70">
      <w:start w:val="1"/>
      <w:numFmt w:val="bullet"/>
      <w:lvlText w:val="-"/>
      <w:lvlJc w:val="left"/>
      <w:pPr>
        <w:ind w:left="345" w:hanging="360"/>
      </w:pPr>
      <w:rPr>
        <w:rFonts w:ascii="Arial" w:eastAsiaTheme="minorHAnsi" w:hAnsi="Arial" w:cs="Arial" w:hint="default"/>
      </w:rPr>
    </w:lvl>
    <w:lvl w:ilvl="1" w:tplc="04050003" w:tentative="1">
      <w:start w:val="1"/>
      <w:numFmt w:val="bullet"/>
      <w:lvlText w:val="o"/>
      <w:lvlJc w:val="left"/>
      <w:pPr>
        <w:ind w:left="1065" w:hanging="360"/>
      </w:pPr>
      <w:rPr>
        <w:rFonts w:ascii="Courier New" w:hAnsi="Courier New" w:cs="Courier New" w:hint="default"/>
      </w:rPr>
    </w:lvl>
    <w:lvl w:ilvl="2" w:tplc="04050005" w:tentative="1">
      <w:start w:val="1"/>
      <w:numFmt w:val="bullet"/>
      <w:lvlText w:val=""/>
      <w:lvlJc w:val="left"/>
      <w:pPr>
        <w:ind w:left="1785" w:hanging="360"/>
      </w:pPr>
      <w:rPr>
        <w:rFonts w:ascii="Wingdings" w:hAnsi="Wingdings" w:hint="default"/>
      </w:rPr>
    </w:lvl>
    <w:lvl w:ilvl="3" w:tplc="04050001" w:tentative="1">
      <w:start w:val="1"/>
      <w:numFmt w:val="bullet"/>
      <w:lvlText w:val=""/>
      <w:lvlJc w:val="left"/>
      <w:pPr>
        <w:ind w:left="2505" w:hanging="360"/>
      </w:pPr>
      <w:rPr>
        <w:rFonts w:ascii="Symbol" w:hAnsi="Symbol" w:hint="default"/>
      </w:rPr>
    </w:lvl>
    <w:lvl w:ilvl="4" w:tplc="04050003" w:tentative="1">
      <w:start w:val="1"/>
      <w:numFmt w:val="bullet"/>
      <w:lvlText w:val="o"/>
      <w:lvlJc w:val="left"/>
      <w:pPr>
        <w:ind w:left="3225" w:hanging="360"/>
      </w:pPr>
      <w:rPr>
        <w:rFonts w:ascii="Courier New" w:hAnsi="Courier New" w:cs="Courier New" w:hint="default"/>
      </w:rPr>
    </w:lvl>
    <w:lvl w:ilvl="5" w:tplc="04050005" w:tentative="1">
      <w:start w:val="1"/>
      <w:numFmt w:val="bullet"/>
      <w:lvlText w:val=""/>
      <w:lvlJc w:val="left"/>
      <w:pPr>
        <w:ind w:left="3945" w:hanging="360"/>
      </w:pPr>
      <w:rPr>
        <w:rFonts w:ascii="Wingdings" w:hAnsi="Wingdings" w:hint="default"/>
      </w:rPr>
    </w:lvl>
    <w:lvl w:ilvl="6" w:tplc="04050001" w:tentative="1">
      <w:start w:val="1"/>
      <w:numFmt w:val="bullet"/>
      <w:lvlText w:val=""/>
      <w:lvlJc w:val="left"/>
      <w:pPr>
        <w:ind w:left="4665" w:hanging="360"/>
      </w:pPr>
      <w:rPr>
        <w:rFonts w:ascii="Symbol" w:hAnsi="Symbol" w:hint="default"/>
      </w:rPr>
    </w:lvl>
    <w:lvl w:ilvl="7" w:tplc="04050003" w:tentative="1">
      <w:start w:val="1"/>
      <w:numFmt w:val="bullet"/>
      <w:lvlText w:val="o"/>
      <w:lvlJc w:val="left"/>
      <w:pPr>
        <w:ind w:left="5385" w:hanging="360"/>
      </w:pPr>
      <w:rPr>
        <w:rFonts w:ascii="Courier New" w:hAnsi="Courier New" w:cs="Courier New" w:hint="default"/>
      </w:rPr>
    </w:lvl>
    <w:lvl w:ilvl="8" w:tplc="04050005" w:tentative="1">
      <w:start w:val="1"/>
      <w:numFmt w:val="bullet"/>
      <w:lvlText w:val=""/>
      <w:lvlJc w:val="left"/>
      <w:pPr>
        <w:ind w:left="6105" w:hanging="360"/>
      </w:pPr>
      <w:rPr>
        <w:rFonts w:ascii="Wingdings" w:hAnsi="Wingdings" w:hint="default"/>
      </w:rPr>
    </w:lvl>
  </w:abstractNum>
  <w:abstractNum w:abstractNumId="7" w15:restartNumberingAfterBreak="0">
    <w:nsid w:val="3FFB2F84"/>
    <w:multiLevelType w:val="hybridMultilevel"/>
    <w:tmpl w:val="3FB0C3C0"/>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6882194"/>
    <w:multiLevelType w:val="hybridMultilevel"/>
    <w:tmpl w:val="09B49B16"/>
    <w:lvl w:ilvl="0" w:tplc="3F306272">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9" w15:restartNumberingAfterBreak="0">
    <w:nsid w:val="58E46094"/>
    <w:multiLevelType w:val="hybridMultilevel"/>
    <w:tmpl w:val="0666F1F8"/>
    <w:lvl w:ilvl="0" w:tplc="04050001">
      <w:start w:val="1"/>
      <w:numFmt w:val="bullet"/>
      <w:lvlText w:val=""/>
      <w:lvlJc w:val="left"/>
      <w:pPr>
        <w:ind w:left="721" w:hanging="360"/>
      </w:pPr>
      <w:rPr>
        <w:rFonts w:ascii="Symbol" w:hAnsi="Symbol" w:hint="default"/>
      </w:rPr>
    </w:lvl>
    <w:lvl w:ilvl="1" w:tplc="04050003">
      <w:start w:val="1"/>
      <w:numFmt w:val="bullet"/>
      <w:lvlText w:val="o"/>
      <w:lvlJc w:val="left"/>
      <w:pPr>
        <w:ind w:left="1441" w:hanging="360"/>
      </w:pPr>
      <w:rPr>
        <w:rFonts w:ascii="Courier New" w:hAnsi="Courier New" w:cs="Courier New" w:hint="default"/>
      </w:rPr>
    </w:lvl>
    <w:lvl w:ilvl="2" w:tplc="04050005">
      <w:start w:val="1"/>
      <w:numFmt w:val="bullet"/>
      <w:lvlText w:val=""/>
      <w:lvlJc w:val="left"/>
      <w:pPr>
        <w:ind w:left="2161" w:hanging="360"/>
      </w:pPr>
      <w:rPr>
        <w:rFonts w:ascii="Wingdings" w:hAnsi="Wingdings" w:hint="default"/>
      </w:rPr>
    </w:lvl>
    <w:lvl w:ilvl="3" w:tplc="04050001">
      <w:start w:val="1"/>
      <w:numFmt w:val="bullet"/>
      <w:lvlText w:val=""/>
      <w:lvlJc w:val="left"/>
      <w:pPr>
        <w:ind w:left="2881" w:hanging="360"/>
      </w:pPr>
      <w:rPr>
        <w:rFonts w:ascii="Symbol" w:hAnsi="Symbol" w:hint="default"/>
      </w:rPr>
    </w:lvl>
    <w:lvl w:ilvl="4" w:tplc="04050003">
      <w:start w:val="1"/>
      <w:numFmt w:val="bullet"/>
      <w:lvlText w:val="o"/>
      <w:lvlJc w:val="left"/>
      <w:pPr>
        <w:ind w:left="3601" w:hanging="360"/>
      </w:pPr>
      <w:rPr>
        <w:rFonts w:ascii="Courier New" w:hAnsi="Courier New" w:cs="Courier New" w:hint="default"/>
      </w:rPr>
    </w:lvl>
    <w:lvl w:ilvl="5" w:tplc="04050005">
      <w:start w:val="1"/>
      <w:numFmt w:val="bullet"/>
      <w:lvlText w:val=""/>
      <w:lvlJc w:val="left"/>
      <w:pPr>
        <w:ind w:left="4321" w:hanging="360"/>
      </w:pPr>
      <w:rPr>
        <w:rFonts w:ascii="Wingdings" w:hAnsi="Wingdings" w:hint="default"/>
      </w:rPr>
    </w:lvl>
    <w:lvl w:ilvl="6" w:tplc="04050001">
      <w:start w:val="1"/>
      <w:numFmt w:val="bullet"/>
      <w:lvlText w:val=""/>
      <w:lvlJc w:val="left"/>
      <w:pPr>
        <w:ind w:left="5041" w:hanging="360"/>
      </w:pPr>
      <w:rPr>
        <w:rFonts w:ascii="Symbol" w:hAnsi="Symbol" w:hint="default"/>
      </w:rPr>
    </w:lvl>
    <w:lvl w:ilvl="7" w:tplc="04050003">
      <w:start w:val="1"/>
      <w:numFmt w:val="bullet"/>
      <w:lvlText w:val="o"/>
      <w:lvlJc w:val="left"/>
      <w:pPr>
        <w:ind w:left="5761" w:hanging="360"/>
      </w:pPr>
      <w:rPr>
        <w:rFonts w:ascii="Courier New" w:hAnsi="Courier New" w:cs="Courier New" w:hint="default"/>
      </w:rPr>
    </w:lvl>
    <w:lvl w:ilvl="8" w:tplc="04050005">
      <w:start w:val="1"/>
      <w:numFmt w:val="bullet"/>
      <w:lvlText w:val=""/>
      <w:lvlJc w:val="left"/>
      <w:pPr>
        <w:ind w:left="6481" w:hanging="360"/>
      </w:pPr>
      <w:rPr>
        <w:rFonts w:ascii="Wingdings" w:hAnsi="Wingdings" w:hint="default"/>
      </w:rPr>
    </w:lvl>
  </w:abstractNum>
  <w:abstractNum w:abstractNumId="10" w15:restartNumberingAfterBreak="0">
    <w:nsid w:val="60F97A61"/>
    <w:multiLevelType w:val="hybridMultilevel"/>
    <w:tmpl w:val="68B8B5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8C17324"/>
    <w:multiLevelType w:val="hybridMultilevel"/>
    <w:tmpl w:val="06625FE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69BC2EA4"/>
    <w:multiLevelType w:val="hybridMultilevel"/>
    <w:tmpl w:val="1D1C33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6A004778"/>
    <w:multiLevelType w:val="hybridMultilevel"/>
    <w:tmpl w:val="F41A511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4" w15:restartNumberingAfterBreak="0">
    <w:nsid w:val="6A395D18"/>
    <w:multiLevelType w:val="hybridMultilevel"/>
    <w:tmpl w:val="C9160142"/>
    <w:lvl w:ilvl="0" w:tplc="90F21DCE">
      <w:start w:val="1"/>
      <w:numFmt w:val="lowerLetter"/>
      <w:lvlText w:val="%1)"/>
      <w:lvlJc w:val="left"/>
      <w:pPr>
        <w:ind w:left="705" w:hanging="360"/>
      </w:pPr>
      <w:rPr>
        <w:rFonts w:hint="default"/>
      </w:rPr>
    </w:lvl>
    <w:lvl w:ilvl="1" w:tplc="04050019" w:tentative="1">
      <w:start w:val="1"/>
      <w:numFmt w:val="lowerLetter"/>
      <w:lvlText w:val="%2."/>
      <w:lvlJc w:val="left"/>
      <w:pPr>
        <w:ind w:left="1425" w:hanging="360"/>
      </w:pPr>
    </w:lvl>
    <w:lvl w:ilvl="2" w:tplc="0405001B" w:tentative="1">
      <w:start w:val="1"/>
      <w:numFmt w:val="lowerRoman"/>
      <w:lvlText w:val="%3."/>
      <w:lvlJc w:val="right"/>
      <w:pPr>
        <w:ind w:left="2145" w:hanging="180"/>
      </w:pPr>
    </w:lvl>
    <w:lvl w:ilvl="3" w:tplc="0405000F" w:tentative="1">
      <w:start w:val="1"/>
      <w:numFmt w:val="decimal"/>
      <w:lvlText w:val="%4."/>
      <w:lvlJc w:val="left"/>
      <w:pPr>
        <w:ind w:left="2865" w:hanging="360"/>
      </w:pPr>
    </w:lvl>
    <w:lvl w:ilvl="4" w:tplc="04050019" w:tentative="1">
      <w:start w:val="1"/>
      <w:numFmt w:val="lowerLetter"/>
      <w:lvlText w:val="%5."/>
      <w:lvlJc w:val="left"/>
      <w:pPr>
        <w:ind w:left="3585" w:hanging="360"/>
      </w:pPr>
    </w:lvl>
    <w:lvl w:ilvl="5" w:tplc="0405001B" w:tentative="1">
      <w:start w:val="1"/>
      <w:numFmt w:val="lowerRoman"/>
      <w:lvlText w:val="%6."/>
      <w:lvlJc w:val="right"/>
      <w:pPr>
        <w:ind w:left="4305" w:hanging="180"/>
      </w:pPr>
    </w:lvl>
    <w:lvl w:ilvl="6" w:tplc="0405000F" w:tentative="1">
      <w:start w:val="1"/>
      <w:numFmt w:val="decimal"/>
      <w:lvlText w:val="%7."/>
      <w:lvlJc w:val="left"/>
      <w:pPr>
        <w:ind w:left="5025" w:hanging="360"/>
      </w:pPr>
    </w:lvl>
    <w:lvl w:ilvl="7" w:tplc="04050019" w:tentative="1">
      <w:start w:val="1"/>
      <w:numFmt w:val="lowerLetter"/>
      <w:lvlText w:val="%8."/>
      <w:lvlJc w:val="left"/>
      <w:pPr>
        <w:ind w:left="5745" w:hanging="360"/>
      </w:pPr>
    </w:lvl>
    <w:lvl w:ilvl="8" w:tplc="0405001B" w:tentative="1">
      <w:start w:val="1"/>
      <w:numFmt w:val="lowerRoman"/>
      <w:lvlText w:val="%9."/>
      <w:lvlJc w:val="right"/>
      <w:pPr>
        <w:ind w:left="6465" w:hanging="180"/>
      </w:pPr>
    </w:lvl>
  </w:abstractNum>
  <w:abstractNum w:abstractNumId="15" w15:restartNumberingAfterBreak="0">
    <w:nsid w:val="6EE815A3"/>
    <w:multiLevelType w:val="hybridMultilevel"/>
    <w:tmpl w:val="F81CF32C"/>
    <w:lvl w:ilvl="0" w:tplc="65A26D1A">
      <w:start w:val="1"/>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120905255">
    <w:abstractNumId w:val="0"/>
  </w:num>
  <w:num w:numId="2" w16cid:durableId="1611006721">
    <w:abstractNumId w:val="12"/>
  </w:num>
  <w:num w:numId="3" w16cid:durableId="1071807703">
    <w:abstractNumId w:val="4"/>
  </w:num>
  <w:num w:numId="4" w16cid:durableId="1159612381">
    <w:abstractNumId w:val="14"/>
  </w:num>
  <w:num w:numId="5" w16cid:durableId="883517140">
    <w:abstractNumId w:val="15"/>
  </w:num>
  <w:num w:numId="6" w16cid:durableId="1692411943">
    <w:abstractNumId w:val="6"/>
  </w:num>
  <w:num w:numId="7" w16cid:durableId="1031146108">
    <w:abstractNumId w:val="5"/>
  </w:num>
  <w:num w:numId="8" w16cid:durableId="855536926">
    <w:abstractNumId w:val="1"/>
  </w:num>
  <w:num w:numId="9" w16cid:durableId="1520509364">
    <w:abstractNumId w:val="8"/>
  </w:num>
  <w:num w:numId="10" w16cid:durableId="1075517266">
    <w:abstractNumId w:val="2"/>
  </w:num>
  <w:num w:numId="11" w16cid:durableId="1148009970">
    <w:abstractNumId w:val="9"/>
  </w:num>
  <w:num w:numId="12" w16cid:durableId="418455017">
    <w:abstractNumId w:val="13"/>
  </w:num>
  <w:num w:numId="13" w16cid:durableId="1323317364">
    <w:abstractNumId w:val="11"/>
  </w:num>
  <w:num w:numId="14" w16cid:durableId="1554078815">
    <w:abstractNumId w:val="3"/>
  </w:num>
  <w:num w:numId="15" w16cid:durableId="1346782159">
    <w:abstractNumId w:val="7"/>
  </w:num>
  <w:num w:numId="16" w16cid:durableId="14658522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0CF"/>
    <w:rsid w:val="00003292"/>
    <w:rsid w:val="00007B29"/>
    <w:rsid w:val="00025AC8"/>
    <w:rsid w:val="0002753A"/>
    <w:rsid w:val="00027DC7"/>
    <w:rsid w:val="000300ED"/>
    <w:rsid w:val="00037198"/>
    <w:rsid w:val="00043949"/>
    <w:rsid w:val="00044B97"/>
    <w:rsid w:val="00045AD0"/>
    <w:rsid w:val="00053906"/>
    <w:rsid w:val="00056E6A"/>
    <w:rsid w:val="00057B36"/>
    <w:rsid w:val="000741E3"/>
    <w:rsid w:val="0009131D"/>
    <w:rsid w:val="0009503C"/>
    <w:rsid w:val="000A707E"/>
    <w:rsid w:val="000B3C18"/>
    <w:rsid w:val="000B3ECB"/>
    <w:rsid w:val="000B5C1C"/>
    <w:rsid w:val="000B78AC"/>
    <w:rsid w:val="000E2C64"/>
    <w:rsid w:val="0010721B"/>
    <w:rsid w:val="00110821"/>
    <w:rsid w:val="00126CD4"/>
    <w:rsid w:val="00142850"/>
    <w:rsid w:val="00143E7B"/>
    <w:rsid w:val="00144510"/>
    <w:rsid w:val="001472E1"/>
    <w:rsid w:val="00151D8D"/>
    <w:rsid w:val="00152827"/>
    <w:rsid w:val="00156C3F"/>
    <w:rsid w:val="00162432"/>
    <w:rsid w:val="00166F6D"/>
    <w:rsid w:val="00167F18"/>
    <w:rsid w:val="00173F4D"/>
    <w:rsid w:val="00175775"/>
    <w:rsid w:val="00190B94"/>
    <w:rsid w:val="001924C7"/>
    <w:rsid w:val="00192BDE"/>
    <w:rsid w:val="001A470D"/>
    <w:rsid w:val="001C26F7"/>
    <w:rsid w:val="001C38DE"/>
    <w:rsid w:val="001C3FB1"/>
    <w:rsid w:val="001D0E07"/>
    <w:rsid w:val="001D158E"/>
    <w:rsid w:val="001D5235"/>
    <w:rsid w:val="001E4127"/>
    <w:rsid w:val="001E6858"/>
    <w:rsid w:val="001E6864"/>
    <w:rsid w:val="001F4903"/>
    <w:rsid w:val="002008FE"/>
    <w:rsid w:val="002012CC"/>
    <w:rsid w:val="0021635D"/>
    <w:rsid w:val="00225F02"/>
    <w:rsid w:val="0026408B"/>
    <w:rsid w:val="002726E7"/>
    <w:rsid w:val="00273118"/>
    <w:rsid w:val="0027431F"/>
    <w:rsid w:val="0028740E"/>
    <w:rsid w:val="002A2F6F"/>
    <w:rsid w:val="002A51DA"/>
    <w:rsid w:val="002B7C92"/>
    <w:rsid w:val="002C050A"/>
    <w:rsid w:val="002C2749"/>
    <w:rsid w:val="002D7E3D"/>
    <w:rsid w:val="002E36CF"/>
    <w:rsid w:val="002E494C"/>
    <w:rsid w:val="002F20E5"/>
    <w:rsid w:val="00314DCA"/>
    <w:rsid w:val="00320321"/>
    <w:rsid w:val="003316B0"/>
    <w:rsid w:val="00331CA6"/>
    <w:rsid w:val="00332038"/>
    <w:rsid w:val="00347084"/>
    <w:rsid w:val="00350179"/>
    <w:rsid w:val="00351811"/>
    <w:rsid w:val="00351DAF"/>
    <w:rsid w:val="00361995"/>
    <w:rsid w:val="00363379"/>
    <w:rsid w:val="00373649"/>
    <w:rsid w:val="0037728A"/>
    <w:rsid w:val="003833D4"/>
    <w:rsid w:val="003B6A8F"/>
    <w:rsid w:val="003C7C0A"/>
    <w:rsid w:val="003E12DF"/>
    <w:rsid w:val="003E22E2"/>
    <w:rsid w:val="003E3961"/>
    <w:rsid w:val="003E3B85"/>
    <w:rsid w:val="003F2528"/>
    <w:rsid w:val="004047B4"/>
    <w:rsid w:val="004049A5"/>
    <w:rsid w:val="00412BFC"/>
    <w:rsid w:val="00432A70"/>
    <w:rsid w:val="0043419B"/>
    <w:rsid w:val="00443231"/>
    <w:rsid w:val="00447455"/>
    <w:rsid w:val="00455C0D"/>
    <w:rsid w:val="0046373B"/>
    <w:rsid w:val="00493D8C"/>
    <w:rsid w:val="00494584"/>
    <w:rsid w:val="00494ACB"/>
    <w:rsid w:val="00495788"/>
    <w:rsid w:val="0049637D"/>
    <w:rsid w:val="004B779B"/>
    <w:rsid w:val="004E75EB"/>
    <w:rsid w:val="004F3AA9"/>
    <w:rsid w:val="004F5D1D"/>
    <w:rsid w:val="005074D4"/>
    <w:rsid w:val="00515D34"/>
    <w:rsid w:val="005223C8"/>
    <w:rsid w:val="00522CD2"/>
    <w:rsid w:val="00526090"/>
    <w:rsid w:val="0052640B"/>
    <w:rsid w:val="0052640F"/>
    <w:rsid w:val="00541FB6"/>
    <w:rsid w:val="0054330A"/>
    <w:rsid w:val="00543844"/>
    <w:rsid w:val="005545CE"/>
    <w:rsid w:val="0055657E"/>
    <w:rsid w:val="005702A5"/>
    <w:rsid w:val="00572CFD"/>
    <w:rsid w:val="00574953"/>
    <w:rsid w:val="00577B57"/>
    <w:rsid w:val="00583206"/>
    <w:rsid w:val="005837B9"/>
    <w:rsid w:val="0059117C"/>
    <w:rsid w:val="005923C5"/>
    <w:rsid w:val="00592C1D"/>
    <w:rsid w:val="005A0FA4"/>
    <w:rsid w:val="005A2DEE"/>
    <w:rsid w:val="005A3A49"/>
    <w:rsid w:val="005B2A55"/>
    <w:rsid w:val="005B408C"/>
    <w:rsid w:val="005C435F"/>
    <w:rsid w:val="005D0830"/>
    <w:rsid w:val="005D105B"/>
    <w:rsid w:val="005D1AF4"/>
    <w:rsid w:val="005D4E23"/>
    <w:rsid w:val="005E3D23"/>
    <w:rsid w:val="005E3D51"/>
    <w:rsid w:val="005E6069"/>
    <w:rsid w:val="005F0256"/>
    <w:rsid w:val="005F2E97"/>
    <w:rsid w:val="005F540D"/>
    <w:rsid w:val="005F776A"/>
    <w:rsid w:val="005F7F53"/>
    <w:rsid w:val="00600999"/>
    <w:rsid w:val="00601B8E"/>
    <w:rsid w:val="0060731F"/>
    <w:rsid w:val="0061127C"/>
    <w:rsid w:val="00614EBB"/>
    <w:rsid w:val="006178F5"/>
    <w:rsid w:val="006266FB"/>
    <w:rsid w:val="0062723D"/>
    <w:rsid w:val="0063584E"/>
    <w:rsid w:val="0064106F"/>
    <w:rsid w:val="00653A86"/>
    <w:rsid w:val="00653FC1"/>
    <w:rsid w:val="00656822"/>
    <w:rsid w:val="006620E7"/>
    <w:rsid w:val="00663C7B"/>
    <w:rsid w:val="00664F4F"/>
    <w:rsid w:val="0066747A"/>
    <w:rsid w:val="00680E41"/>
    <w:rsid w:val="00681DA5"/>
    <w:rsid w:val="00684259"/>
    <w:rsid w:val="006A1284"/>
    <w:rsid w:val="006C41C3"/>
    <w:rsid w:val="006C528F"/>
    <w:rsid w:val="006D428D"/>
    <w:rsid w:val="006E3BFD"/>
    <w:rsid w:val="006E4CEC"/>
    <w:rsid w:val="006F6413"/>
    <w:rsid w:val="0070124B"/>
    <w:rsid w:val="007130DE"/>
    <w:rsid w:val="0072323A"/>
    <w:rsid w:val="00730C87"/>
    <w:rsid w:val="0073117A"/>
    <w:rsid w:val="00735C36"/>
    <w:rsid w:val="00741486"/>
    <w:rsid w:val="0074340E"/>
    <w:rsid w:val="00751AA2"/>
    <w:rsid w:val="00752488"/>
    <w:rsid w:val="0075374E"/>
    <w:rsid w:val="007659B8"/>
    <w:rsid w:val="00771930"/>
    <w:rsid w:val="0077642A"/>
    <w:rsid w:val="00787B23"/>
    <w:rsid w:val="007B729E"/>
    <w:rsid w:val="007C3195"/>
    <w:rsid w:val="007C40CF"/>
    <w:rsid w:val="007D088B"/>
    <w:rsid w:val="007E1C0E"/>
    <w:rsid w:val="007E237F"/>
    <w:rsid w:val="007E4F0B"/>
    <w:rsid w:val="00803251"/>
    <w:rsid w:val="00803609"/>
    <w:rsid w:val="008078D2"/>
    <w:rsid w:val="00807D68"/>
    <w:rsid w:val="0081160A"/>
    <w:rsid w:val="00820008"/>
    <w:rsid w:val="00820628"/>
    <w:rsid w:val="0084569F"/>
    <w:rsid w:val="00847488"/>
    <w:rsid w:val="00862CB6"/>
    <w:rsid w:val="008632A4"/>
    <w:rsid w:val="00867DDD"/>
    <w:rsid w:val="00867FE0"/>
    <w:rsid w:val="008764A5"/>
    <w:rsid w:val="00885497"/>
    <w:rsid w:val="00890135"/>
    <w:rsid w:val="0089254F"/>
    <w:rsid w:val="00892EF5"/>
    <w:rsid w:val="008A6022"/>
    <w:rsid w:val="008D0EB8"/>
    <w:rsid w:val="008D6E1D"/>
    <w:rsid w:val="008E7095"/>
    <w:rsid w:val="008F22C0"/>
    <w:rsid w:val="008F7886"/>
    <w:rsid w:val="00901E88"/>
    <w:rsid w:val="00902B4C"/>
    <w:rsid w:val="0090767D"/>
    <w:rsid w:val="00917CF5"/>
    <w:rsid w:val="00922364"/>
    <w:rsid w:val="0092339C"/>
    <w:rsid w:val="009266E9"/>
    <w:rsid w:val="009418B2"/>
    <w:rsid w:val="00946C62"/>
    <w:rsid w:val="00955DA0"/>
    <w:rsid w:val="00963E3E"/>
    <w:rsid w:val="0097002E"/>
    <w:rsid w:val="009709A2"/>
    <w:rsid w:val="00970F06"/>
    <w:rsid w:val="00971704"/>
    <w:rsid w:val="00972523"/>
    <w:rsid w:val="0098033A"/>
    <w:rsid w:val="00980AE7"/>
    <w:rsid w:val="009856C8"/>
    <w:rsid w:val="00987BA8"/>
    <w:rsid w:val="00994318"/>
    <w:rsid w:val="00995A51"/>
    <w:rsid w:val="009A419B"/>
    <w:rsid w:val="009A7490"/>
    <w:rsid w:val="009C1656"/>
    <w:rsid w:val="009C191D"/>
    <w:rsid w:val="009C4B6C"/>
    <w:rsid w:val="009C6AFE"/>
    <w:rsid w:val="009D7643"/>
    <w:rsid w:val="009E2C4F"/>
    <w:rsid w:val="009E32D6"/>
    <w:rsid w:val="009F2D9C"/>
    <w:rsid w:val="009F4279"/>
    <w:rsid w:val="00A04DA8"/>
    <w:rsid w:val="00A13513"/>
    <w:rsid w:val="00A1413F"/>
    <w:rsid w:val="00A14E7B"/>
    <w:rsid w:val="00A161BD"/>
    <w:rsid w:val="00A165D6"/>
    <w:rsid w:val="00A36B0E"/>
    <w:rsid w:val="00A51854"/>
    <w:rsid w:val="00A54485"/>
    <w:rsid w:val="00A563F3"/>
    <w:rsid w:val="00A57931"/>
    <w:rsid w:val="00A64DC1"/>
    <w:rsid w:val="00A66848"/>
    <w:rsid w:val="00A81783"/>
    <w:rsid w:val="00A81871"/>
    <w:rsid w:val="00A81A74"/>
    <w:rsid w:val="00A93B4E"/>
    <w:rsid w:val="00A95A44"/>
    <w:rsid w:val="00AB2A97"/>
    <w:rsid w:val="00AD2EE9"/>
    <w:rsid w:val="00AD54E3"/>
    <w:rsid w:val="00AE6C34"/>
    <w:rsid w:val="00AF2B4F"/>
    <w:rsid w:val="00AF5C19"/>
    <w:rsid w:val="00AF6C9F"/>
    <w:rsid w:val="00B0403D"/>
    <w:rsid w:val="00B04C40"/>
    <w:rsid w:val="00B05C63"/>
    <w:rsid w:val="00B06284"/>
    <w:rsid w:val="00B13E79"/>
    <w:rsid w:val="00B1483A"/>
    <w:rsid w:val="00B205BA"/>
    <w:rsid w:val="00B20F24"/>
    <w:rsid w:val="00B35984"/>
    <w:rsid w:val="00B37AAB"/>
    <w:rsid w:val="00B40171"/>
    <w:rsid w:val="00B44F4B"/>
    <w:rsid w:val="00B473BD"/>
    <w:rsid w:val="00B553B1"/>
    <w:rsid w:val="00B57583"/>
    <w:rsid w:val="00B65EBA"/>
    <w:rsid w:val="00B67F4F"/>
    <w:rsid w:val="00B94916"/>
    <w:rsid w:val="00B97A9C"/>
    <w:rsid w:val="00BA1045"/>
    <w:rsid w:val="00BD02A1"/>
    <w:rsid w:val="00BD6127"/>
    <w:rsid w:val="00BD7E5E"/>
    <w:rsid w:val="00BE29F2"/>
    <w:rsid w:val="00BF40BB"/>
    <w:rsid w:val="00BF5CA1"/>
    <w:rsid w:val="00C02E84"/>
    <w:rsid w:val="00C06823"/>
    <w:rsid w:val="00C21585"/>
    <w:rsid w:val="00C241B4"/>
    <w:rsid w:val="00C41758"/>
    <w:rsid w:val="00C43D14"/>
    <w:rsid w:val="00C4704F"/>
    <w:rsid w:val="00C64499"/>
    <w:rsid w:val="00C70F51"/>
    <w:rsid w:val="00C72655"/>
    <w:rsid w:val="00C85899"/>
    <w:rsid w:val="00C90730"/>
    <w:rsid w:val="00C92240"/>
    <w:rsid w:val="00C937E8"/>
    <w:rsid w:val="00C9701C"/>
    <w:rsid w:val="00C97D46"/>
    <w:rsid w:val="00CB0474"/>
    <w:rsid w:val="00CC157E"/>
    <w:rsid w:val="00CD11D7"/>
    <w:rsid w:val="00CD1207"/>
    <w:rsid w:val="00CE40CA"/>
    <w:rsid w:val="00CE7269"/>
    <w:rsid w:val="00CF55D9"/>
    <w:rsid w:val="00CF6F01"/>
    <w:rsid w:val="00D00046"/>
    <w:rsid w:val="00D100A7"/>
    <w:rsid w:val="00D16725"/>
    <w:rsid w:val="00D2107A"/>
    <w:rsid w:val="00D230ED"/>
    <w:rsid w:val="00D25869"/>
    <w:rsid w:val="00D31CE0"/>
    <w:rsid w:val="00D329DD"/>
    <w:rsid w:val="00D33380"/>
    <w:rsid w:val="00D5365A"/>
    <w:rsid w:val="00D54C32"/>
    <w:rsid w:val="00D64111"/>
    <w:rsid w:val="00D66CD2"/>
    <w:rsid w:val="00D74481"/>
    <w:rsid w:val="00D763A0"/>
    <w:rsid w:val="00D77B99"/>
    <w:rsid w:val="00D806B7"/>
    <w:rsid w:val="00D82F55"/>
    <w:rsid w:val="00D8316C"/>
    <w:rsid w:val="00D86DDA"/>
    <w:rsid w:val="00D87F3A"/>
    <w:rsid w:val="00D966A5"/>
    <w:rsid w:val="00DA113C"/>
    <w:rsid w:val="00DA2759"/>
    <w:rsid w:val="00DA5C17"/>
    <w:rsid w:val="00DA69AB"/>
    <w:rsid w:val="00DB2730"/>
    <w:rsid w:val="00DC02FD"/>
    <w:rsid w:val="00DC17B3"/>
    <w:rsid w:val="00DC5B7E"/>
    <w:rsid w:val="00DC7896"/>
    <w:rsid w:val="00DD7EAD"/>
    <w:rsid w:val="00DE3FE8"/>
    <w:rsid w:val="00DE7BD1"/>
    <w:rsid w:val="00DF0FBC"/>
    <w:rsid w:val="00DF4E85"/>
    <w:rsid w:val="00E01D17"/>
    <w:rsid w:val="00E17BF0"/>
    <w:rsid w:val="00E23AD4"/>
    <w:rsid w:val="00E27FB5"/>
    <w:rsid w:val="00E32347"/>
    <w:rsid w:val="00E53779"/>
    <w:rsid w:val="00E561BC"/>
    <w:rsid w:val="00E56869"/>
    <w:rsid w:val="00E64BC8"/>
    <w:rsid w:val="00E756D1"/>
    <w:rsid w:val="00E90D9C"/>
    <w:rsid w:val="00E95609"/>
    <w:rsid w:val="00EA1C2C"/>
    <w:rsid w:val="00EA1D75"/>
    <w:rsid w:val="00EA39B4"/>
    <w:rsid w:val="00EB6C69"/>
    <w:rsid w:val="00EC4680"/>
    <w:rsid w:val="00ED4CDF"/>
    <w:rsid w:val="00EF1726"/>
    <w:rsid w:val="00EF3E1F"/>
    <w:rsid w:val="00EF59B9"/>
    <w:rsid w:val="00F168AF"/>
    <w:rsid w:val="00F21DE3"/>
    <w:rsid w:val="00F2566E"/>
    <w:rsid w:val="00F34A6A"/>
    <w:rsid w:val="00F4039A"/>
    <w:rsid w:val="00F44180"/>
    <w:rsid w:val="00F447E7"/>
    <w:rsid w:val="00F45888"/>
    <w:rsid w:val="00F4644A"/>
    <w:rsid w:val="00F50FE8"/>
    <w:rsid w:val="00F51690"/>
    <w:rsid w:val="00F53C17"/>
    <w:rsid w:val="00F55D33"/>
    <w:rsid w:val="00F7008A"/>
    <w:rsid w:val="00F70689"/>
    <w:rsid w:val="00F70880"/>
    <w:rsid w:val="00F71B38"/>
    <w:rsid w:val="00F975D3"/>
    <w:rsid w:val="00FA4411"/>
    <w:rsid w:val="00FA76BC"/>
    <w:rsid w:val="00FB39B8"/>
    <w:rsid w:val="00FB4861"/>
    <w:rsid w:val="00FB4E91"/>
    <w:rsid w:val="00FB65AE"/>
    <w:rsid w:val="00FC6B78"/>
    <w:rsid w:val="00FC7607"/>
    <w:rsid w:val="00FD0861"/>
    <w:rsid w:val="00FD185E"/>
    <w:rsid w:val="00FD205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B1B64AC"/>
  <w15:chartTrackingRefBased/>
  <w15:docId w15:val="{A6B7E4F7-B832-45EB-B1F5-D1FAA85CE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07D6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07D68"/>
  </w:style>
  <w:style w:type="paragraph" w:styleId="Zpat">
    <w:name w:val="footer"/>
    <w:basedOn w:val="Normln"/>
    <w:link w:val="ZpatChar"/>
    <w:uiPriority w:val="99"/>
    <w:unhideWhenUsed/>
    <w:rsid w:val="00807D68"/>
    <w:pPr>
      <w:tabs>
        <w:tab w:val="center" w:pos="4536"/>
        <w:tab w:val="right" w:pos="9072"/>
      </w:tabs>
      <w:spacing w:after="0" w:line="240" w:lineRule="auto"/>
    </w:pPr>
  </w:style>
  <w:style w:type="character" w:customStyle="1" w:styleId="ZpatChar">
    <w:name w:val="Zápatí Char"/>
    <w:basedOn w:val="Standardnpsmoodstavce"/>
    <w:link w:val="Zpat"/>
    <w:uiPriority w:val="99"/>
    <w:rsid w:val="00807D68"/>
  </w:style>
  <w:style w:type="table" w:styleId="Mkatabulky">
    <w:name w:val="Table Grid"/>
    <w:basedOn w:val="Normlntabulka"/>
    <w:uiPriority w:val="39"/>
    <w:rsid w:val="00B44F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2C1D"/>
    <w:pPr>
      <w:autoSpaceDE w:val="0"/>
      <w:autoSpaceDN w:val="0"/>
      <w:adjustRightInd w:val="0"/>
      <w:spacing w:after="0" w:line="240" w:lineRule="auto"/>
    </w:pPr>
    <w:rPr>
      <w:rFonts w:ascii="Arial" w:eastAsia="Calibri" w:hAnsi="Arial" w:cs="Arial"/>
      <w:color w:val="000000"/>
      <w:sz w:val="24"/>
      <w:szCs w:val="24"/>
    </w:rPr>
  </w:style>
  <w:style w:type="paragraph" w:styleId="Odstavecseseznamem">
    <w:name w:val="List Paragraph"/>
    <w:basedOn w:val="Normln"/>
    <w:uiPriority w:val="34"/>
    <w:qFormat/>
    <w:rsid w:val="00F53C17"/>
    <w:pPr>
      <w:spacing w:after="200" w:line="276" w:lineRule="auto"/>
      <w:ind w:left="720"/>
      <w:contextualSpacing/>
    </w:pPr>
    <w:rPr>
      <w:rFonts w:ascii="Calibri" w:eastAsia="Calibri" w:hAnsi="Calibri" w:cs="Times New Roman"/>
    </w:rPr>
  </w:style>
  <w:style w:type="paragraph" w:styleId="Bezmezer">
    <w:name w:val="No Spacing"/>
    <w:link w:val="BezmezerChar"/>
    <w:uiPriority w:val="1"/>
    <w:qFormat/>
    <w:rsid w:val="006D428D"/>
    <w:pPr>
      <w:spacing w:after="0" w:line="240" w:lineRule="auto"/>
    </w:pPr>
    <w:rPr>
      <w:rFonts w:ascii="Times New Roman" w:eastAsia="Times New Roman" w:hAnsi="Times New Roman" w:cs="Times New Roman"/>
      <w:sz w:val="24"/>
      <w:szCs w:val="24"/>
      <w:lang w:eastAsia="cs-CZ"/>
    </w:rPr>
  </w:style>
  <w:style w:type="character" w:customStyle="1" w:styleId="BezmezerChar">
    <w:name w:val="Bez mezer Char"/>
    <w:link w:val="Bezmezer"/>
    <w:uiPriority w:val="1"/>
    <w:locked/>
    <w:rsid w:val="006D428D"/>
    <w:rPr>
      <w:rFonts w:ascii="Times New Roman" w:eastAsia="Times New Roman" w:hAnsi="Times New Roman" w:cs="Times New Roman"/>
      <w:sz w:val="24"/>
      <w:szCs w:val="24"/>
      <w:lang w:eastAsia="cs-CZ"/>
    </w:rPr>
  </w:style>
  <w:style w:type="paragraph" w:styleId="Revize">
    <w:name w:val="Revision"/>
    <w:hidden/>
    <w:uiPriority w:val="99"/>
    <w:semiHidden/>
    <w:rsid w:val="00574953"/>
    <w:pPr>
      <w:spacing w:after="0" w:line="240" w:lineRule="auto"/>
    </w:pPr>
  </w:style>
  <w:style w:type="paragraph" w:styleId="Prosttext">
    <w:name w:val="Plain Text"/>
    <w:basedOn w:val="Normln"/>
    <w:link w:val="ProsttextChar"/>
    <w:uiPriority w:val="99"/>
    <w:unhideWhenUsed/>
    <w:rsid w:val="00FD185E"/>
    <w:pPr>
      <w:spacing w:after="0" w:line="240" w:lineRule="auto"/>
    </w:pPr>
    <w:rPr>
      <w:rFonts w:ascii="Calibri" w:eastAsia="Calibri" w:hAnsi="Calibri" w:cs="Times New Roman"/>
      <w:szCs w:val="21"/>
    </w:rPr>
  </w:style>
  <w:style w:type="character" w:customStyle="1" w:styleId="ProsttextChar">
    <w:name w:val="Prostý text Char"/>
    <w:basedOn w:val="Standardnpsmoodstavce"/>
    <w:link w:val="Prosttext"/>
    <w:uiPriority w:val="99"/>
    <w:rsid w:val="00FD185E"/>
    <w:rPr>
      <w:rFonts w:ascii="Calibri" w:eastAsia="Calibri" w:hAnsi="Calibri" w:cs="Times New Roman"/>
      <w:szCs w:val="21"/>
    </w:rPr>
  </w:style>
  <w:style w:type="character" w:styleId="Odkaznakoment">
    <w:name w:val="annotation reference"/>
    <w:basedOn w:val="Standardnpsmoodstavce"/>
    <w:uiPriority w:val="99"/>
    <w:semiHidden/>
    <w:unhideWhenUsed/>
    <w:rsid w:val="009A419B"/>
    <w:rPr>
      <w:sz w:val="16"/>
      <w:szCs w:val="16"/>
    </w:rPr>
  </w:style>
  <w:style w:type="paragraph" w:styleId="Textkomente">
    <w:name w:val="annotation text"/>
    <w:basedOn w:val="Normln"/>
    <w:link w:val="TextkomenteChar"/>
    <w:uiPriority w:val="99"/>
    <w:unhideWhenUsed/>
    <w:rsid w:val="009A419B"/>
    <w:pPr>
      <w:spacing w:line="240" w:lineRule="auto"/>
    </w:pPr>
    <w:rPr>
      <w:sz w:val="20"/>
      <w:szCs w:val="20"/>
    </w:rPr>
  </w:style>
  <w:style w:type="character" w:customStyle="1" w:styleId="TextkomenteChar">
    <w:name w:val="Text komentáře Char"/>
    <w:basedOn w:val="Standardnpsmoodstavce"/>
    <w:link w:val="Textkomente"/>
    <w:uiPriority w:val="99"/>
    <w:rsid w:val="009A419B"/>
    <w:rPr>
      <w:sz w:val="20"/>
      <w:szCs w:val="20"/>
    </w:rPr>
  </w:style>
  <w:style w:type="paragraph" w:styleId="Pedmtkomente">
    <w:name w:val="annotation subject"/>
    <w:basedOn w:val="Textkomente"/>
    <w:next w:val="Textkomente"/>
    <w:link w:val="PedmtkomenteChar"/>
    <w:uiPriority w:val="99"/>
    <w:semiHidden/>
    <w:unhideWhenUsed/>
    <w:rsid w:val="009A419B"/>
    <w:rPr>
      <w:b/>
      <w:bCs/>
    </w:rPr>
  </w:style>
  <w:style w:type="character" w:customStyle="1" w:styleId="PedmtkomenteChar">
    <w:name w:val="Předmět komentáře Char"/>
    <w:basedOn w:val="TextkomenteChar"/>
    <w:link w:val="Pedmtkomente"/>
    <w:uiPriority w:val="99"/>
    <w:semiHidden/>
    <w:rsid w:val="009A419B"/>
    <w:rPr>
      <w:b/>
      <w:bCs/>
      <w:sz w:val="20"/>
      <w:szCs w:val="20"/>
    </w:rPr>
  </w:style>
  <w:style w:type="character" w:styleId="Siln">
    <w:name w:val="Strong"/>
    <w:basedOn w:val="Standardnpsmoodstavce"/>
    <w:uiPriority w:val="22"/>
    <w:qFormat/>
    <w:rsid w:val="00EC4680"/>
    <w:rPr>
      <w:b/>
      <w:bCs/>
    </w:rPr>
  </w:style>
  <w:style w:type="character" w:customStyle="1" w:styleId="relative">
    <w:name w:val="relative"/>
    <w:basedOn w:val="Standardnpsmoodstavce"/>
    <w:rsid w:val="00EC4680"/>
  </w:style>
  <w:style w:type="paragraph" w:styleId="Normlnweb">
    <w:name w:val="Normal (Web)"/>
    <w:basedOn w:val="Normln"/>
    <w:uiPriority w:val="99"/>
    <w:semiHidden/>
    <w:unhideWhenUsed/>
    <w:rsid w:val="00DF0FB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218910">
      <w:bodyDiv w:val="1"/>
      <w:marLeft w:val="0"/>
      <w:marRight w:val="0"/>
      <w:marTop w:val="0"/>
      <w:marBottom w:val="0"/>
      <w:divBdr>
        <w:top w:val="none" w:sz="0" w:space="0" w:color="auto"/>
        <w:left w:val="none" w:sz="0" w:space="0" w:color="auto"/>
        <w:bottom w:val="none" w:sz="0" w:space="0" w:color="auto"/>
        <w:right w:val="none" w:sz="0" w:space="0" w:color="auto"/>
      </w:divBdr>
      <w:divsChild>
        <w:div w:id="1867861308">
          <w:marLeft w:val="0"/>
          <w:marRight w:val="0"/>
          <w:marTop w:val="0"/>
          <w:marBottom w:val="0"/>
          <w:divBdr>
            <w:top w:val="none" w:sz="0" w:space="0" w:color="auto"/>
            <w:left w:val="none" w:sz="0" w:space="0" w:color="auto"/>
            <w:bottom w:val="none" w:sz="0" w:space="0" w:color="auto"/>
            <w:right w:val="none" w:sz="0" w:space="0" w:color="auto"/>
          </w:divBdr>
        </w:div>
      </w:divsChild>
    </w:div>
    <w:div w:id="705954041">
      <w:bodyDiv w:val="1"/>
      <w:marLeft w:val="0"/>
      <w:marRight w:val="0"/>
      <w:marTop w:val="0"/>
      <w:marBottom w:val="0"/>
      <w:divBdr>
        <w:top w:val="none" w:sz="0" w:space="0" w:color="auto"/>
        <w:left w:val="none" w:sz="0" w:space="0" w:color="auto"/>
        <w:bottom w:val="none" w:sz="0" w:space="0" w:color="auto"/>
        <w:right w:val="none" w:sz="0" w:space="0" w:color="auto"/>
      </w:divBdr>
    </w:div>
    <w:div w:id="765223730">
      <w:bodyDiv w:val="1"/>
      <w:marLeft w:val="0"/>
      <w:marRight w:val="0"/>
      <w:marTop w:val="0"/>
      <w:marBottom w:val="0"/>
      <w:divBdr>
        <w:top w:val="none" w:sz="0" w:space="0" w:color="auto"/>
        <w:left w:val="none" w:sz="0" w:space="0" w:color="auto"/>
        <w:bottom w:val="none" w:sz="0" w:space="0" w:color="auto"/>
        <w:right w:val="none" w:sz="0" w:space="0" w:color="auto"/>
      </w:divBdr>
      <w:divsChild>
        <w:div w:id="1081096284">
          <w:marLeft w:val="0"/>
          <w:marRight w:val="0"/>
          <w:marTop w:val="0"/>
          <w:marBottom w:val="0"/>
          <w:divBdr>
            <w:top w:val="none" w:sz="0" w:space="0" w:color="auto"/>
            <w:left w:val="none" w:sz="0" w:space="0" w:color="auto"/>
            <w:bottom w:val="none" w:sz="0" w:space="0" w:color="auto"/>
            <w:right w:val="none" w:sz="0" w:space="0" w:color="auto"/>
          </w:divBdr>
        </w:div>
      </w:divsChild>
    </w:div>
    <w:div w:id="1038702167">
      <w:bodyDiv w:val="1"/>
      <w:marLeft w:val="0"/>
      <w:marRight w:val="0"/>
      <w:marTop w:val="0"/>
      <w:marBottom w:val="0"/>
      <w:divBdr>
        <w:top w:val="none" w:sz="0" w:space="0" w:color="auto"/>
        <w:left w:val="none" w:sz="0" w:space="0" w:color="auto"/>
        <w:bottom w:val="none" w:sz="0" w:space="0" w:color="auto"/>
        <w:right w:val="none" w:sz="0" w:space="0" w:color="auto"/>
      </w:divBdr>
    </w:div>
    <w:div w:id="1107769089">
      <w:bodyDiv w:val="1"/>
      <w:marLeft w:val="0"/>
      <w:marRight w:val="0"/>
      <w:marTop w:val="0"/>
      <w:marBottom w:val="0"/>
      <w:divBdr>
        <w:top w:val="none" w:sz="0" w:space="0" w:color="auto"/>
        <w:left w:val="none" w:sz="0" w:space="0" w:color="auto"/>
        <w:bottom w:val="none" w:sz="0" w:space="0" w:color="auto"/>
        <w:right w:val="none" w:sz="0" w:space="0" w:color="auto"/>
      </w:divBdr>
    </w:div>
    <w:div w:id="1226917149">
      <w:bodyDiv w:val="1"/>
      <w:marLeft w:val="0"/>
      <w:marRight w:val="0"/>
      <w:marTop w:val="0"/>
      <w:marBottom w:val="0"/>
      <w:divBdr>
        <w:top w:val="none" w:sz="0" w:space="0" w:color="auto"/>
        <w:left w:val="none" w:sz="0" w:space="0" w:color="auto"/>
        <w:bottom w:val="none" w:sz="0" w:space="0" w:color="auto"/>
        <w:right w:val="none" w:sz="0" w:space="0" w:color="auto"/>
      </w:divBdr>
    </w:div>
    <w:div w:id="1494761783">
      <w:bodyDiv w:val="1"/>
      <w:marLeft w:val="0"/>
      <w:marRight w:val="0"/>
      <w:marTop w:val="0"/>
      <w:marBottom w:val="0"/>
      <w:divBdr>
        <w:top w:val="none" w:sz="0" w:space="0" w:color="auto"/>
        <w:left w:val="none" w:sz="0" w:space="0" w:color="auto"/>
        <w:bottom w:val="none" w:sz="0" w:space="0" w:color="auto"/>
        <w:right w:val="none" w:sz="0" w:space="0" w:color="auto"/>
      </w:divBdr>
    </w:div>
    <w:div w:id="1812595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1FEE7-98A3-4788-B967-47E16946D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2</Pages>
  <Words>559</Words>
  <Characters>3301</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Klimecká Ester, Mgr. Bc.</dc:creator>
  <cp:keywords/>
  <dc:description/>
  <cp:lastModifiedBy>Tichota Ondřej, Mgr., DiS.</cp:lastModifiedBy>
  <cp:revision>48</cp:revision>
  <cp:lastPrinted>2025-04-03T06:56:00Z</cp:lastPrinted>
  <dcterms:created xsi:type="dcterms:W3CDTF">2026-03-20T14:00:00Z</dcterms:created>
  <dcterms:modified xsi:type="dcterms:W3CDTF">2026-10-12T06:26:00Z</dcterms:modified>
</cp:coreProperties>
</file>