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E68F" w14:textId="77777777" w:rsidR="00376A4E" w:rsidRPr="00970F06" w:rsidRDefault="00376A4E" w:rsidP="00376A4E">
      <w:pPr>
        <w:spacing w:before="240"/>
        <w:jc w:val="right"/>
        <w:rPr>
          <w:rFonts w:ascii="Arial" w:hAnsi="Arial" w:cs="Arial"/>
          <w:color w:val="2658A5"/>
          <w:sz w:val="48"/>
          <w:szCs w:val="48"/>
        </w:rPr>
      </w:pPr>
      <w:r w:rsidRPr="00252EB5">
        <w:rPr>
          <w:rFonts w:ascii="Arial" w:eastAsia="Calibri" w:hAnsi="Arial" w:cs="Arial"/>
          <w:b/>
          <w:bCs/>
          <w:sz w:val="20"/>
          <w:szCs w:val="20"/>
          <w:lang w:val="en-GB"/>
        </w:rPr>
        <w:drawing>
          <wp:anchor distT="0" distB="0" distL="114300" distR="114300" simplePos="0" relativeHeight="251659264" behindDoc="0" locked="0" layoutInCell="1" allowOverlap="1" wp14:anchorId="0666CCE0" wp14:editId="30CE6772">
            <wp:simplePos x="0" y="0"/>
            <wp:positionH relativeFrom="margin">
              <wp:posOffset>0</wp:posOffset>
            </wp:positionH>
            <wp:positionV relativeFrom="paragraph">
              <wp:posOffset>56515</wp:posOffset>
            </wp:positionV>
            <wp:extent cx="2695575" cy="511379"/>
            <wp:effectExtent l="0" t="0" r="0" b="3175"/>
            <wp:wrapNone/>
            <wp:docPr id="1284560963" name="Obrázek 1" descr="Obsah obrázku Písmo, Grafika, text, snímek obrazovky&#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60963" name="Obrázek 1" descr="Obsah obrázku Písmo, Grafika, text, snímek obrazovky&#10;&#10;Obsah generovaný pomocí AI může být nesprávný."/>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95575" cy="51137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2658A5"/>
          <w:sz w:val="48"/>
          <w:szCs w:val="48"/>
        </w:rPr>
        <w:t>PRESS RELEASE</w:t>
      </w:r>
    </w:p>
    <w:p w14:paraId="0022BE11" w14:textId="4FE24414" w:rsidR="003E3B85" w:rsidRDefault="003E3B85" w:rsidP="003E3B85">
      <w:pPr>
        <w:jc w:val="both"/>
        <w:rPr>
          <w:rFonts w:ascii="Montserrat" w:hAnsi="Montserrat"/>
          <w:sz w:val="20"/>
          <w:szCs w:val="20"/>
        </w:rPr>
      </w:pPr>
    </w:p>
    <w:p w14:paraId="59F3EFC7" w14:textId="76D814FA" w:rsidR="00DD7297" w:rsidRPr="00DD7297" w:rsidRDefault="00DD7297" w:rsidP="00DD7297">
      <w:pPr>
        <w:pStyle w:val="Default"/>
        <w:spacing w:after="200"/>
        <w:jc w:val="both"/>
        <w:rPr>
          <w:rFonts w:eastAsiaTheme="minorHAnsi"/>
          <w:b/>
          <w:bCs/>
          <w:color w:val="2658A5"/>
          <w:sz w:val="32"/>
          <w:szCs w:val="32"/>
          <w:lang w:val="en-GB"/>
        </w:rPr>
      </w:pPr>
      <w:r w:rsidRPr="00DD7297">
        <w:rPr>
          <w:rFonts w:eastAsiaTheme="minorHAnsi"/>
          <w:b/>
          <w:bCs/>
          <w:color w:val="2658A5"/>
          <w:sz w:val="32"/>
          <w:szCs w:val="32"/>
          <w:lang w:val="en-GB"/>
        </w:rPr>
        <w:t>CTIA inspected sellers’ obligations related t</w:t>
      </w:r>
      <w:r w:rsidR="00183EEC" w:rsidRPr="00183EEC">
        <w:rPr>
          <w:rFonts w:eastAsiaTheme="minorHAnsi"/>
          <w:b/>
          <w:bCs/>
          <w:color w:val="2658A5"/>
          <w:sz w:val="32"/>
          <w:szCs w:val="32"/>
          <w:lang w:val="en-GB"/>
        </w:rPr>
        <w:t>o</w:t>
      </w:r>
      <w:r w:rsidRPr="00DD7297">
        <w:rPr>
          <w:rFonts w:eastAsiaTheme="minorHAnsi"/>
          <w:b/>
          <w:bCs/>
          <w:color w:val="2658A5"/>
          <w:sz w:val="32"/>
          <w:szCs w:val="32"/>
          <w:lang w:val="en-GB"/>
        </w:rPr>
        <w:t xml:space="preserve"> offering discounts on product prices. In the second quarter, it found breaches of sellers’ obligations in more than half of the inspections</w:t>
      </w:r>
    </w:p>
    <w:p w14:paraId="5A8F5071"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(Prague, 31 August 2026) </w:t>
      </w:r>
      <w:r w:rsidRPr="00DD7297">
        <w:rPr>
          <w:b/>
          <w:bCs/>
          <w:sz w:val="20"/>
          <w:szCs w:val="20"/>
          <w:lang w:val="en-GB"/>
        </w:rPr>
        <w:t xml:space="preserve">In the second quarter of this year, the Czech Trade Inspection Authority again focused on sellers’ compliance with their obligations under Act No. 634/1992 Coll., on Consumer Protection, in relation to the provision of discounts when offering and selling goods and services. Within this inspection activity, it carried out a total of 239 inspections; breaches of legal regulations were identified in 122 of these, representing 51.05 per cent of the total number of inspections carried out. </w:t>
      </w:r>
    </w:p>
    <w:p w14:paraId="470DE27B" w14:textId="77777777" w:rsidR="00DD7297" w:rsidRPr="00DD7297" w:rsidRDefault="00DD7297" w:rsidP="00DD7297">
      <w:pPr>
        <w:pStyle w:val="Default"/>
        <w:spacing w:after="200"/>
        <w:jc w:val="both"/>
        <w:rPr>
          <w:sz w:val="20"/>
          <w:szCs w:val="20"/>
          <w:lang w:val="en-GB"/>
        </w:rPr>
      </w:pPr>
      <w:r w:rsidRPr="00DD7297">
        <w:rPr>
          <w:b/>
          <w:bCs/>
          <w:sz w:val="20"/>
          <w:szCs w:val="20"/>
          <w:lang w:val="en-GB"/>
        </w:rPr>
        <w:t>Between 1 April and 30 June 2026, the inspections focused on sellers across the entire retail network, including e-shops.</w:t>
      </w:r>
    </w:p>
    <w:p w14:paraId="7AB663F1" w14:textId="77777777" w:rsidR="00DD7297" w:rsidRPr="00DD7297" w:rsidRDefault="00DD7297" w:rsidP="00DD7297">
      <w:pPr>
        <w:pStyle w:val="Default"/>
        <w:spacing w:after="200"/>
        <w:jc w:val="both"/>
        <w:rPr>
          <w:sz w:val="20"/>
          <w:szCs w:val="20"/>
          <w:lang w:val="en-GB"/>
        </w:rPr>
      </w:pPr>
      <w:r w:rsidRPr="00DD7297">
        <w:rPr>
          <w:sz w:val="20"/>
          <w:szCs w:val="20"/>
          <w:lang w:val="en-GB"/>
        </w:rPr>
        <w:t>The aim of the inspection activity was to see whether, within the provision of discounts on product prices, sellers informed consumers of the lowest price at which the product had been offered and sold during the 30 days prior to the discount being provided, and whether they calculated the discount based on that price.</w:t>
      </w:r>
    </w:p>
    <w:p w14:paraId="42251DE5"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Within the inspection activity, it was also verified whether products were </w:t>
      </w:r>
      <w:proofErr w:type="gramStart"/>
      <w:r w:rsidRPr="00DD7297">
        <w:rPr>
          <w:sz w:val="20"/>
          <w:szCs w:val="20"/>
          <w:lang w:val="en-GB"/>
        </w:rPr>
        <w:t>actually sold</w:t>
      </w:r>
      <w:proofErr w:type="gramEnd"/>
      <w:r w:rsidRPr="00DD7297">
        <w:rPr>
          <w:sz w:val="20"/>
          <w:szCs w:val="20"/>
          <w:lang w:val="en-GB"/>
        </w:rPr>
        <w:t xml:space="preserve"> at the advertised prices and whether sellers breached the prohibition on the use of unfair commercial practices in this regard.</w:t>
      </w:r>
    </w:p>
    <w:p w14:paraId="24F8B216" w14:textId="77777777" w:rsidR="00DD7297" w:rsidRPr="00DD7297" w:rsidRDefault="00DD7297" w:rsidP="00DD7297">
      <w:pPr>
        <w:pStyle w:val="Default"/>
        <w:spacing w:after="200"/>
        <w:jc w:val="both"/>
        <w:rPr>
          <w:sz w:val="20"/>
          <w:szCs w:val="20"/>
          <w:lang w:val="en-GB"/>
        </w:rPr>
      </w:pPr>
      <w:r w:rsidRPr="00DD7297">
        <w:rPr>
          <w:b/>
          <w:bCs/>
          <w:sz w:val="20"/>
          <w:szCs w:val="20"/>
          <w:lang w:val="en-GB"/>
        </w:rPr>
        <w:t>The most common finding, in 60 cases, was precisely the use of unfair commercial practices</w:t>
      </w:r>
      <w:r w:rsidRPr="00DD7297">
        <w:rPr>
          <w:sz w:val="20"/>
          <w:szCs w:val="20"/>
          <w:lang w:val="en-GB"/>
        </w:rPr>
        <w:t xml:space="preserve"> (Sections 4, 5 and 5a of the Act on Consumer Protection).</w:t>
      </w:r>
    </w:p>
    <w:p w14:paraId="73D4ABF0"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Another frequent finding was </w:t>
      </w:r>
      <w:r w:rsidRPr="00DD7297">
        <w:rPr>
          <w:b/>
          <w:bCs/>
          <w:sz w:val="20"/>
          <w:szCs w:val="20"/>
          <w:lang w:val="en-GB"/>
        </w:rPr>
        <w:t>an infringement of the provisions of Section 12a</w:t>
      </w:r>
      <w:r w:rsidRPr="00DD7297">
        <w:rPr>
          <w:sz w:val="20"/>
          <w:szCs w:val="20"/>
          <w:lang w:val="en-GB"/>
        </w:rPr>
        <w:t xml:space="preserve"> of the Act on Consumer Protection, relating to information on the discount </w:t>
      </w:r>
      <w:proofErr w:type="gramStart"/>
      <w:r w:rsidRPr="00DD7297">
        <w:rPr>
          <w:sz w:val="20"/>
          <w:szCs w:val="20"/>
          <w:lang w:val="en-GB"/>
        </w:rPr>
        <w:t>and also</w:t>
      </w:r>
      <w:proofErr w:type="gramEnd"/>
      <w:r w:rsidRPr="00DD7297">
        <w:rPr>
          <w:sz w:val="20"/>
          <w:szCs w:val="20"/>
          <w:lang w:val="en-GB"/>
        </w:rPr>
        <w:t xml:space="preserve"> details of </w:t>
      </w:r>
      <w:r w:rsidRPr="00DD7297">
        <w:rPr>
          <w:b/>
          <w:bCs/>
          <w:sz w:val="20"/>
          <w:szCs w:val="20"/>
          <w:lang w:val="en-GB"/>
        </w:rPr>
        <w:t>the lowest price at which the product was offered and sold during the 30 days prior to the discount being provided</w:t>
      </w:r>
      <w:r w:rsidRPr="00DD7297">
        <w:rPr>
          <w:sz w:val="20"/>
          <w:szCs w:val="20"/>
          <w:lang w:val="en-GB"/>
        </w:rPr>
        <w:t xml:space="preserve">. This obligation regarding information on the discount was breached in a total of </w:t>
      </w:r>
      <w:r w:rsidRPr="00DD7297">
        <w:rPr>
          <w:b/>
          <w:bCs/>
          <w:sz w:val="20"/>
          <w:szCs w:val="20"/>
          <w:lang w:val="en-GB"/>
        </w:rPr>
        <w:t>45 cases.</w:t>
      </w:r>
    </w:p>
    <w:p w14:paraId="40D50E00"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Furthermore, </w:t>
      </w:r>
      <w:r w:rsidRPr="00DD7297">
        <w:rPr>
          <w:b/>
          <w:bCs/>
          <w:sz w:val="20"/>
          <w:szCs w:val="20"/>
          <w:lang w:val="en-GB"/>
        </w:rPr>
        <w:t>in 30 cases</w:t>
      </w:r>
      <w:r w:rsidRPr="00DD7297">
        <w:rPr>
          <w:sz w:val="20"/>
          <w:szCs w:val="20"/>
          <w:lang w:val="en-GB"/>
        </w:rPr>
        <w:t xml:space="preserve">, an </w:t>
      </w:r>
      <w:r w:rsidRPr="00DD7297">
        <w:rPr>
          <w:b/>
          <w:bCs/>
          <w:sz w:val="20"/>
          <w:szCs w:val="20"/>
          <w:lang w:val="en-GB"/>
        </w:rPr>
        <w:t xml:space="preserve">infringement of the provisions of Section 3 </w:t>
      </w:r>
      <w:r w:rsidRPr="00DD7297">
        <w:rPr>
          <w:sz w:val="20"/>
          <w:szCs w:val="20"/>
          <w:lang w:val="en-GB"/>
        </w:rPr>
        <w:t>of the Act on Consumer Protection was identified, which governs fair the sale of products and the provision of services. Of these, 26 cases involved a breach of the provisions of Section 3(1)(c), which concerns the correct billing of product prices.</w:t>
      </w:r>
    </w:p>
    <w:p w14:paraId="4886DA8F" w14:textId="77777777" w:rsidR="00DD7297" w:rsidRPr="00DD7297" w:rsidRDefault="00DD7297" w:rsidP="00DD7297">
      <w:pPr>
        <w:pStyle w:val="Default"/>
        <w:spacing w:after="200"/>
        <w:jc w:val="both"/>
        <w:rPr>
          <w:sz w:val="20"/>
          <w:szCs w:val="20"/>
          <w:lang w:val="en-GB"/>
        </w:rPr>
      </w:pPr>
      <w:r w:rsidRPr="00DD7297">
        <w:rPr>
          <w:sz w:val="20"/>
          <w:szCs w:val="20"/>
          <w:lang w:val="en-GB"/>
        </w:rPr>
        <w:t>In 18 cases, infringements of Section 12 of the Act on Consumer Protection were also identified; this section concerns the seller’s obligation to provide information on the price of products sold or services provided in accordance with pricing regulations.</w:t>
      </w:r>
    </w:p>
    <w:p w14:paraId="787B8181" w14:textId="77777777" w:rsidR="00DD7297" w:rsidRPr="00DD7297" w:rsidRDefault="00DD7297" w:rsidP="00DD7297">
      <w:pPr>
        <w:pStyle w:val="Default"/>
        <w:spacing w:after="200"/>
        <w:jc w:val="both"/>
        <w:rPr>
          <w:sz w:val="20"/>
          <w:szCs w:val="20"/>
          <w:lang w:val="en-GB"/>
        </w:rPr>
      </w:pPr>
      <w:r w:rsidRPr="00DD7297">
        <w:rPr>
          <w:b/>
          <w:bCs/>
          <w:sz w:val="20"/>
          <w:szCs w:val="20"/>
          <w:lang w:val="en-GB"/>
        </w:rPr>
        <w:t>Breaches of other legal regulations falling within the CTIA’s surveillance scope were established in 62 cases.</w:t>
      </w:r>
      <w:r w:rsidRPr="00DD7297">
        <w:rPr>
          <w:sz w:val="20"/>
          <w:szCs w:val="20"/>
          <w:lang w:val="en-GB"/>
        </w:rPr>
        <w:t xml:space="preserve"> These included, for example, breaches of the Civil Code, the Act on End-of-Life Products, the Act on Inspection, and so on. In total, 239 cases of breaches of legal regulations were detected within the inspection activity (more than one breach could be identified within a single inspection).</w:t>
      </w:r>
    </w:p>
    <w:p w14:paraId="35241EBC"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Based on breaches of legal regulations falling within the CTIA’s surveillance scope, identified in connection with the inspection activity, </w:t>
      </w:r>
      <w:r w:rsidRPr="00DD7297">
        <w:rPr>
          <w:b/>
          <w:bCs/>
          <w:sz w:val="20"/>
          <w:szCs w:val="20"/>
          <w:lang w:val="en-GB"/>
        </w:rPr>
        <w:t xml:space="preserve">a total of 124 fines, amounting to 23,819,500 CZK, became legally binding in the period from 1 April 2026 to 30 June 2026. </w:t>
      </w:r>
    </w:p>
    <w:p w14:paraId="45BBE94A" w14:textId="77777777" w:rsidR="00DD7297" w:rsidRDefault="00DD7297" w:rsidP="00DD7297">
      <w:pPr>
        <w:pStyle w:val="Default"/>
        <w:spacing w:after="200"/>
        <w:jc w:val="both"/>
        <w:rPr>
          <w:sz w:val="20"/>
          <w:szCs w:val="20"/>
          <w:lang w:val="en-GB"/>
        </w:rPr>
      </w:pPr>
    </w:p>
    <w:p w14:paraId="09CEB3BA" w14:textId="77777777" w:rsidR="00183EEC" w:rsidRPr="00DD7297" w:rsidRDefault="00183EEC" w:rsidP="00DD7297">
      <w:pPr>
        <w:pStyle w:val="Default"/>
        <w:spacing w:after="200"/>
        <w:jc w:val="both"/>
        <w:rPr>
          <w:sz w:val="20"/>
          <w:szCs w:val="20"/>
          <w:lang w:val="en-GB"/>
        </w:rPr>
      </w:pPr>
    </w:p>
    <w:p w14:paraId="54F1914D" w14:textId="77777777" w:rsidR="00DD7297" w:rsidRPr="00DD7297" w:rsidRDefault="00DD7297" w:rsidP="00DD7297">
      <w:pPr>
        <w:pStyle w:val="Default"/>
        <w:spacing w:after="200"/>
        <w:jc w:val="both"/>
        <w:rPr>
          <w:sz w:val="20"/>
          <w:szCs w:val="20"/>
          <w:lang w:val="en-GB"/>
        </w:rPr>
      </w:pPr>
      <w:r w:rsidRPr="00DD7297">
        <w:rPr>
          <w:b/>
          <w:bCs/>
          <w:sz w:val="20"/>
          <w:szCs w:val="20"/>
          <w:u w:val="single"/>
          <w:lang w:val="en-GB"/>
        </w:rPr>
        <w:lastRenderedPageBreak/>
        <w:t>Inspection of post-Christmas sales</w:t>
      </w:r>
    </w:p>
    <w:p w14:paraId="52601382" w14:textId="77777777" w:rsidR="00DD7297" w:rsidRPr="00DD7297" w:rsidRDefault="00DD7297" w:rsidP="00DD7297">
      <w:pPr>
        <w:pStyle w:val="Default"/>
        <w:spacing w:after="200"/>
        <w:jc w:val="both"/>
        <w:rPr>
          <w:sz w:val="20"/>
          <w:szCs w:val="20"/>
          <w:lang w:val="en-GB"/>
        </w:rPr>
      </w:pPr>
      <w:r w:rsidRPr="00DD7297">
        <w:rPr>
          <w:sz w:val="20"/>
          <w:szCs w:val="20"/>
          <w:lang w:val="en-GB"/>
        </w:rPr>
        <w:t>The results included in this press release cover not only the inspections carried out in the second quarter of this year, but also the results of inspections focused on monitoring sales in the post-Christmas period, which, due to their longer-term nature, in fact already begun in the second half of January this year. They were then completed and evaluated in the second quarter due to the time-consuming nature of the analysis and evaluation. A total of 26 e-shops were selected for the monitoring of post-Christmas sales during the period under review.</w:t>
      </w:r>
    </w:p>
    <w:p w14:paraId="4AD94894" w14:textId="77777777" w:rsidR="00DD7297" w:rsidRPr="00DD7297" w:rsidRDefault="00DD7297" w:rsidP="00DD7297">
      <w:pPr>
        <w:pStyle w:val="Default"/>
        <w:spacing w:after="200"/>
        <w:jc w:val="both"/>
        <w:rPr>
          <w:sz w:val="20"/>
          <w:szCs w:val="20"/>
          <w:lang w:val="en-GB"/>
        </w:rPr>
      </w:pPr>
      <w:r w:rsidRPr="00DD7297">
        <w:rPr>
          <w:sz w:val="20"/>
          <w:szCs w:val="20"/>
          <w:lang w:val="en-GB"/>
        </w:rPr>
        <w:t>These inspections, specifically aimed at compliance with legal regulations by online retailers during the post-Christmas sales period – much like the previous inspection activity focusing on ‘Black Friday’ at the end of last year – enable inspection activities to be concentrated on market segments posing the highest risk to consumers.</w:t>
      </w:r>
    </w:p>
    <w:p w14:paraId="0CC23441" w14:textId="77777777" w:rsidR="00DD7297" w:rsidRPr="00DD7297" w:rsidRDefault="00DD7297" w:rsidP="00DD7297">
      <w:pPr>
        <w:pStyle w:val="Default"/>
        <w:spacing w:after="200"/>
        <w:jc w:val="both"/>
        <w:rPr>
          <w:sz w:val="20"/>
          <w:szCs w:val="20"/>
          <w:lang w:val="en-GB"/>
        </w:rPr>
      </w:pPr>
      <w:r w:rsidRPr="00DD7297">
        <w:rPr>
          <w:sz w:val="20"/>
          <w:szCs w:val="20"/>
          <w:lang w:val="en-GB"/>
        </w:rPr>
        <w:t xml:space="preserve">The findings of the inspections repeatedly confirm the persistent </w:t>
      </w:r>
      <w:r w:rsidRPr="00DD7297">
        <w:rPr>
          <w:b/>
          <w:bCs/>
          <w:sz w:val="20"/>
          <w:szCs w:val="20"/>
          <w:lang w:val="en-GB"/>
        </w:rPr>
        <w:t>occurrence of practices likely to mislead consumers</w:t>
      </w:r>
      <w:r w:rsidRPr="00DD7297">
        <w:rPr>
          <w:sz w:val="20"/>
          <w:szCs w:val="20"/>
          <w:lang w:val="en-GB"/>
        </w:rPr>
        <w:t xml:space="preserve">, particularly </w:t>
      </w:r>
      <w:r w:rsidRPr="00DD7297">
        <w:rPr>
          <w:b/>
          <w:bCs/>
          <w:sz w:val="20"/>
          <w:szCs w:val="20"/>
          <w:lang w:val="en-GB"/>
        </w:rPr>
        <w:t>when presenting ‘sensational’ discounts and price advantages during large-scale sales campaigns</w:t>
      </w:r>
      <w:r w:rsidRPr="00DD7297">
        <w:rPr>
          <w:sz w:val="20"/>
          <w:szCs w:val="20"/>
          <w:lang w:val="en-GB"/>
        </w:rPr>
        <w:t>.</w:t>
      </w:r>
    </w:p>
    <w:p w14:paraId="115B56F7" w14:textId="77777777" w:rsidR="00DD7297" w:rsidRPr="00DD7297" w:rsidRDefault="00DD7297" w:rsidP="00DD7297">
      <w:pPr>
        <w:pStyle w:val="Default"/>
        <w:spacing w:after="200"/>
        <w:jc w:val="both"/>
        <w:rPr>
          <w:sz w:val="20"/>
          <w:szCs w:val="20"/>
          <w:lang w:val="en-GB"/>
        </w:rPr>
      </w:pPr>
      <w:r w:rsidRPr="00DD7297">
        <w:rPr>
          <w:sz w:val="20"/>
          <w:szCs w:val="20"/>
          <w:lang w:val="en-GB"/>
        </w:rPr>
        <w:t>At the same time, the use of modern tools for monitoring and evaluating price trends has repeatedly proved its worth within inspections, significantly aiding the detection of unlawful conduct. These specific inspections also revealed</w:t>
      </w:r>
      <w:proofErr w:type="gramStart"/>
      <w:r w:rsidRPr="00DD7297">
        <w:rPr>
          <w:sz w:val="20"/>
          <w:szCs w:val="20"/>
          <w:lang w:val="en-GB"/>
        </w:rPr>
        <w:t xml:space="preserve">, in particular, </w:t>
      </w:r>
      <w:r w:rsidRPr="00DD7297">
        <w:rPr>
          <w:b/>
          <w:bCs/>
          <w:sz w:val="20"/>
          <w:szCs w:val="20"/>
          <w:lang w:val="en-GB"/>
        </w:rPr>
        <w:t>the</w:t>
      </w:r>
      <w:proofErr w:type="gramEnd"/>
      <w:r w:rsidRPr="00DD7297">
        <w:rPr>
          <w:b/>
          <w:bCs/>
          <w:sz w:val="20"/>
          <w:szCs w:val="20"/>
          <w:lang w:val="en-GB"/>
        </w:rPr>
        <w:t xml:space="preserve"> use of unfair commercial practices</w:t>
      </w:r>
      <w:r w:rsidRPr="00DD7297">
        <w:rPr>
          <w:sz w:val="20"/>
          <w:szCs w:val="20"/>
          <w:lang w:val="en-GB"/>
        </w:rPr>
        <w:t xml:space="preserve"> (in 7 cases) and </w:t>
      </w:r>
      <w:r w:rsidRPr="00DD7297">
        <w:rPr>
          <w:b/>
          <w:bCs/>
          <w:sz w:val="20"/>
          <w:szCs w:val="20"/>
          <w:lang w:val="en-GB"/>
        </w:rPr>
        <w:t>an infringement of Section 12a</w:t>
      </w:r>
      <w:r w:rsidRPr="00DD7297">
        <w:rPr>
          <w:sz w:val="20"/>
          <w:szCs w:val="20"/>
          <w:lang w:val="en-GB"/>
        </w:rPr>
        <w:t xml:space="preserve"> of the Act on Consumer Protection, relating to information on discounts and also details of </w:t>
      </w:r>
      <w:r w:rsidRPr="00DD7297">
        <w:rPr>
          <w:b/>
          <w:bCs/>
          <w:sz w:val="20"/>
          <w:szCs w:val="20"/>
          <w:lang w:val="en-GB"/>
        </w:rPr>
        <w:t>the lowest price at which the product was offered and sold during the 30 days prior to the discount being granted</w:t>
      </w:r>
      <w:r w:rsidRPr="00DD7297">
        <w:rPr>
          <w:sz w:val="20"/>
          <w:szCs w:val="20"/>
          <w:lang w:val="en-GB"/>
        </w:rPr>
        <w:t xml:space="preserve">. This obligation was breached in a total of </w:t>
      </w:r>
      <w:r w:rsidRPr="00DD7297">
        <w:rPr>
          <w:b/>
          <w:bCs/>
          <w:sz w:val="20"/>
          <w:szCs w:val="20"/>
          <w:lang w:val="en-GB"/>
        </w:rPr>
        <w:t>6 cases.</w:t>
      </w:r>
    </w:p>
    <w:p w14:paraId="782401CB" w14:textId="77777777" w:rsidR="00DD7297" w:rsidRPr="00DD7297" w:rsidRDefault="00DD7297" w:rsidP="00DD7297">
      <w:pPr>
        <w:pStyle w:val="Default"/>
        <w:spacing w:after="200"/>
        <w:jc w:val="both"/>
        <w:rPr>
          <w:sz w:val="20"/>
          <w:szCs w:val="20"/>
          <w:lang w:val="en-GB"/>
        </w:rPr>
      </w:pPr>
      <w:r w:rsidRPr="00DD7297">
        <w:rPr>
          <w:sz w:val="20"/>
          <w:szCs w:val="20"/>
          <w:lang w:val="en-GB"/>
        </w:rPr>
        <w:t>Discounts remain, in the long term, one of the main areas on which the CTIA focuses within its inspection activities. The results of inspections for the second quarter confirm that sellers continue to breach their legal obligations. This mainly involves a failure to provide information on the lowest price at which the seller offered and sold the product during the 30-day period prior to the discount being granted, or a failure to base the discount on the reference price determined in this way. A trend had previously been observed whereby some sellers seek to circumvent statutory requirements through sophisticated marketing practices rather than by directly breaching them, particularly in relation to the obligation to state the lowest price over the past 30 days.</w:t>
      </w:r>
    </w:p>
    <w:p w14:paraId="1865AE34" w14:textId="77777777" w:rsidR="00DD7297" w:rsidRPr="00DD7297" w:rsidRDefault="00DD7297" w:rsidP="00DD7297">
      <w:pPr>
        <w:pStyle w:val="Default"/>
        <w:spacing w:after="200"/>
        <w:jc w:val="both"/>
        <w:rPr>
          <w:sz w:val="20"/>
          <w:szCs w:val="20"/>
        </w:rPr>
      </w:pPr>
      <w:r w:rsidRPr="00DD7297">
        <w:rPr>
          <w:sz w:val="20"/>
          <w:szCs w:val="20"/>
          <w:lang w:val="en-GB"/>
        </w:rPr>
        <w:t xml:space="preserve">This trend continues, as evidenced by the identified breaches of the prohibition on the use of unfair commercial practices. The most common practice involves presenting discounted offers using terms other than the word ‘discount’, where the consumer would normally expect the original and reduced prices to be stated. The traditional labelling of discount offers is thus being replaced by alternative marketing phrases designed to give the impression of a price advantage, without all the information requirements associated with offering discounts being met. The focus of inspection activities is therefore shifting towards </w:t>
      </w:r>
    </w:p>
    <w:p w14:paraId="67688730" w14:textId="1D18C2C0" w:rsidR="001B34D9" w:rsidRDefault="001B34D9" w:rsidP="00DD7297">
      <w:pPr>
        <w:pStyle w:val="Default"/>
        <w:spacing w:after="200"/>
        <w:jc w:val="both"/>
        <w:rPr>
          <w:sz w:val="20"/>
          <w:szCs w:val="20"/>
        </w:rPr>
      </w:pPr>
    </w:p>
    <w:sectPr w:rsidR="001B34D9" w:rsidSect="00663C7B">
      <w:headerReference w:type="default" r:id="rId9"/>
      <w:footerReference w:type="default" r:id="rId10"/>
      <w:pgSz w:w="11906" w:h="16838"/>
      <w:pgMar w:top="1134" w:right="1417" w:bottom="1701"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1E9B" w14:textId="77777777" w:rsidR="005E755C" w:rsidRDefault="005E755C" w:rsidP="00807D68">
      <w:pPr>
        <w:spacing w:after="0" w:line="240" w:lineRule="auto"/>
      </w:pPr>
      <w:r>
        <w:separator/>
      </w:r>
    </w:p>
  </w:endnote>
  <w:endnote w:type="continuationSeparator" w:id="0">
    <w:p w14:paraId="432EF71A" w14:textId="77777777" w:rsidR="005E755C" w:rsidRDefault="005E755C" w:rsidP="00807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24A07" w14:textId="77777777" w:rsidR="002A183F" w:rsidRPr="000B3C18" w:rsidRDefault="002A183F" w:rsidP="002A183F">
    <w:pPr>
      <w:spacing w:line="276" w:lineRule="auto"/>
      <w:ind w:left="5664" w:firstLine="708"/>
      <w:rPr>
        <w:rFonts w:ascii="Arial" w:hAnsi="Arial" w:cs="Arial"/>
        <w:bCs/>
        <w:color w:val="2658A5"/>
        <w:sz w:val="18"/>
        <w:szCs w:val="18"/>
      </w:rPr>
    </w:pPr>
    <w:r w:rsidRPr="000B3C18">
      <w:rPr>
        <w:rFonts w:ascii="Arial" w:hAnsi="Arial" w:cs="Arial"/>
        <w:noProof/>
        <w:color w:val="2658A5"/>
        <w:sz w:val="18"/>
        <w:szCs w:val="18"/>
        <w:lang w:eastAsia="cs-CZ"/>
      </w:rPr>
      <mc:AlternateContent>
        <mc:Choice Requires="wps">
          <w:drawing>
            <wp:anchor distT="0" distB="0" distL="114300" distR="114300" simplePos="0" relativeHeight="251659264" behindDoc="1" locked="0" layoutInCell="1" allowOverlap="1" wp14:anchorId="4C6A804B" wp14:editId="2CC89B48">
              <wp:simplePos x="0" y="0"/>
              <wp:positionH relativeFrom="column">
                <wp:posOffset>3472180</wp:posOffset>
              </wp:positionH>
              <wp:positionV relativeFrom="paragraph">
                <wp:posOffset>10160</wp:posOffset>
              </wp:positionV>
              <wp:extent cx="2361564" cy="653414"/>
              <wp:effectExtent l="0" t="0" r="1270" b="127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1564" cy="653414"/>
                      </a:xfrm>
                      <a:prstGeom prst="rect">
                        <a:avLst/>
                      </a:prstGeom>
                      <a:solidFill>
                        <a:srgbClr val="FFFFFF"/>
                      </a:solidFill>
                      <a:ln w="9525">
                        <a:noFill/>
                        <a:miter lim="800000"/>
                        <a:headEnd/>
                        <a:tailEnd/>
                      </a:ln>
                    </wps:spPr>
                    <wps:txbx>
                      <w:txbxContent>
                        <w:p w14:paraId="47B2A5CF" w14:textId="77777777" w:rsidR="002A183F" w:rsidRPr="007F2BC4" w:rsidRDefault="002A183F" w:rsidP="002A183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4C6A804B" id="_x0000_t202" coordsize="21600,21600" o:spt="202" path="m,l,21600r21600,l21600,xe">
              <v:stroke joinstyle="miter"/>
              <v:path gradientshapeok="t" o:connecttype="rect"/>
            </v:shapetype>
            <v:shape id="Textové pole 2" o:spid="_x0000_s1026" type="#_x0000_t202" style="position:absolute;left:0;text-align:left;margin-left:273.4pt;margin-top:.8pt;width:185.95pt;height:5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" stroked="f">
              <v:textbox style="mso-fit-shape-to-text:t">
                <w:txbxContent>
                  <w:p w14:paraId="47B2A5CF" w14:textId="77777777" w:rsidR="002A183F" w:rsidRPr="007F2BC4" w:rsidRDefault="002A183F" w:rsidP="002A183F">
                    <w:pPr>
                      <w:jc w:val="right"/>
                      <w:rPr>
                        <w:rFonts w:ascii="Arial" w:hAnsi="Arial" w:cs="Arial"/>
                        <w:sz w:val="18"/>
                        <w:szCs w:val="18"/>
                        <w:lang w:val="fr-FR"/>
                      </w:rPr>
                    </w:pPr>
                    <w:r w:rsidRPr="007F2BC4">
                      <w:rPr>
                        <w:rFonts w:ascii="Arial" w:hAnsi="Arial" w:cs="Arial"/>
                        <w:bCs/>
                        <w:color w:val="2658A5"/>
                        <w:sz w:val="18"/>
                        <w:szCs w:val="18"/>
                        <w:lang w:val="fr-FR"/>
                      </w:rPr>
                      <w:t>Phone: +420 296 366 233</w:t>
                    </w:r>
                    <w:r w:rsidRPr="007F2BC4">
                      <w:rPr>
                        <w:rFonts w:ascii="Arial" w:hAnsi="Arial" w:cs="Arial"/>
                        <w:bCs/>
                        <w:color w:val="2658A5"/>
                        <w:sz w:val="18"/>
                        <w:szCs w:val="18"/>
                        <w:lang w:val="fr-FR"/>
                      </w:rPr>
                      <w:br/>
                      <w:t>Mobile: +420 731 553 732</w:t>
                    </w:r>
                    <w:r w:rsidRPr="007F2BC4">
                      <w:rPr>
                        <w:rFonts w:ascii="Arial" w:hAnsi="Arial" w:cs="Arial"/>
                        <w:bCs/>
                        <w:color w:val="2658A5"/>
                        <w:sz w:val="18"/>
                        <w:szCs w:val="18"/>
                        <w:lang w:val="fr-FR"/>
                      </w:rPr>
                      <w:br/>
                      <w:t>E-mail: mluvci@coi.gov.cz</w:t>
                    </w:r>
                  </w:p>
                </w:txbxContent>
              </v:textbox>
            </v:shape>
          </w:pict>
        </mc:Fallback>
      </mc:AlternateContent>
    </w:r>
    <w:r w:rsidRPr="000B3C18">
      <w:rPr>
        <w:rFonts w:ascii="Arial" w:hAnsi="Arial" w:cs="Arial"/>
        <w:noProof/>
        <w:color w:val="2658A5"/>
        <w:sz w:val="18"/>
        <w:szCs w:val="18"/>
        <w:lang w:eastAsia="cs-CZ"/>
      </w:rPr>
      <mc:AlternateContent>
        <mc:Choice Requires="wps">
          <w:drawing>
            <wp:anchor distT="0" distB="0" distL="114300" distR="114300" simplePos="0" relativeHeight="251660288" behindDoc="1" locked="0" layoutInCell="1" allowOverlap="1" wp14:anchorId="26F9F16C" wp14:editId="5DAF9506">
              <wp:simplePos x="0" y="0"/>
              <wp:positionH relativeFrom="column">
                <wp:posOffset>-109220</wp:posOffset>
              </wp:positionH>
              <wp:positionV relativeFrom="paragraph">
                <wp:posOffset>7620</wp:posOffset>
              </wp:positionV>
              <wp:extent cx="2085975" cy="1404620"/>
              <wp:effectExtent l="0" t="0" r="9525" b="9525"/>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404620"/>
                      </a:xfrm>
                      <a:prstGeom prst="rect">
                        <a:avLst/>
                      </a:prstGeom>
                      <a:solidFill>
                        <a:srgbClr val="FFFFFF"/>
                      </a:solidFill>
                      <a:ln w="9525">
                        <a:noFill/>
                        <a:miter lim="800000"/>
                        <a:headEnd/>
                        <a:tailEnd/>
                      </a:ln>
                    </wps:spPr>
                    <wps:txbx>
                      <w:txbxContent>
                        <w:p w14:paraId="2B8FDD87" w14:textId="77777777" w:rsidR="002A183F" w:rsidRPr="00DC6D14" w:rsidRDefault="002A183F" w:rsidP="002A183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6F9F16C" id="_x0000_s1027" type="#_x0000_t202" style="position:absolute;left:0;text-align:left;margin-left:-8.6pt;margin-top:.6pt;width:164.25pt;height:110.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" stroked="f">
              <v:textbox style="mso-fit-shape-to-text:t">
                <w:txbxContent>
                  <w:p w14:paraId="2B8FDD87" w14:textId="77777777" w:rsidR="002A183F" w:rsidRPr="00DC6D14" w:rsidRDefault="002A183F" w:rsidP="002A183F">
                    <w:pPr>
                      <w:rPr>
                        <w:rFonts w:ascii="Arial" w:hAnsi="Arial" w:cs="Arial"/>
                        <w:sz w:val="18"/>
                        <w:szCs w:val="18"/>
                        <w:lang w:val="en-GB"/>
                      </w:rPr>
                    </w:pPr>
                    <w:r w:rsidRPr="00DC6D14">
                      <w:rPr>
                        <w:rFonts w:ascii="Arial" w:hAnsi="Arial" w:cs="Arial"/>
                        <w:color w:val="2658A5"/>
                        <w:sz w:val="18"/>
                        <w:szCs w:val="18"/>
                        <w:lang w:val="en-GB"/>
                      </w:rPr>
                      <w:t>Contact: Spokesperson of the CTIA</w:t>
                    </w:r>
                    <w:r w:rsidRPr="00DC6D14">
                      <w:rPr>
                        <w:rFonts w:ascii="Arial" w:hAnsi="Arial" w:cs="Arial"/>
                        <w:color w:val="2658A5"/>
                        <w:sz w:val="18"/>
                        <w:szCs w:val="18"/>
                        <w:lang w:val="en-GB"/>
                      </w:rPr>
                      <w:br/>
                      <w:t>Mgr. František Kotrba</w:t>
                    </w:r>
                  </w:p>
                </w:txbxContent>
              </v:textbox>
            </v:shape>
          </w:pict>
        </mc:Fallback>
      </mc:AlternateContent>
    </w:r>
  </w:p>
  <w:p w14:paraId="2E86EAD4" w14:textId="4F492A59" w:rsidR="00F34A6A" w:rsidRPr="002A183F" w:rsidRDefault="002A183F" w:rsidP="002A183F">
    <w:pPr>
      <w:pStyle w:val="Zpat"/>
      <w:tabs>
        <w:tab w:val="clear" w:pos="4536"/>
        <w:tab w:val="clear" w:pos="9072"/>
        <w:tab w:val="left" w:pos="8280"/>
      </w:tabs>
      <w:rPr>
        <w:rFonts w:ascii="Arial" w:hAnsi="Arial" w:cs="Arial"/>
        <w:sz w:val="20"/>
        <w:szCs w:val="20"/>
      </w:rPr>
    </w:pP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C3704" w14:textId="77777777" w:rsidR="005E755C" w:rsidRDefault="005E755C" w:rsidP="00807D68">
      <w:pPr>
        <w:spacing w:after="0" w:line="240" w:lineRule="auto"/>
      </w:pPr>
      <w:r>
        <w:separator/>
      </w:r>
    </w:p>
  </w:footnote>
  <w:footnote w:type="continuationSeparator" w:id="0">
    <w:p w14:paraId="57203FE4" w14:textId="77777777" w:rsidR="005E755C" w:rsidRDefault="005E755C" w:rsidP="00807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F505" w14:textId="77777777" w:rsidR="00807D68" w:rsidRDefault="00807D68">
    <w:pPr>
      <w:pStyle w:val="Zhlav"/>
    </w:pPr>
  </w:p>
  <w:p w14:paraId="03206D20" w14:textId="77777777" w:rsidR="00807D68" w:rsidRDefault="00807D6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35DF6"/>
    <w:multiLevelType w:val="hybridMultilevel"/>
    <w:tmpl w:val="FA3A3312"/>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7361A67"/>
    <w:multiLevelType w:val="hybridMultilevel"/>
    <w:tmpl w:val="B854E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8FB158A"/>
    <w:multiLevelType w:val="hybridMultilevel"/>
    <w:tmpl w:val="E362D29E"/>
    <w:lvl w:ilvl="0" w:tplc="90184EF8">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3" w15:restartNumberingAfterBreak="0">
    <w:nsid w:val="1CD43469"/>
    <w:multiLevelType w:val="hybridMultilevel"/>
    <w:tmpl w:val="79FE67E8"/>
    <w:lvl w:ilvl="0" w:tplc="CA5831C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771E44"/>
    <w:multiLevelType w:val="hybridMultilevel"/>
    <w:tmpl w:val="86C49B60"/>
    <w:lvl w:ilvl="0" w:tplc="352E771C">
      <w:start w:val="1"/>
      <w:numFmt w:val="lowerLetter"/>
      <w:lvlText w:val="%1)"/>
      <w:lvlJc w:val="left"/>
      <w:pPr>
        <w:ind w:left="345" w:hanging="360"/>
      </w:pPr>
      <w:rPr>
        <w:rFonts w:ascii="Arial" w:eastAsiaTheme="minorHAnsi" w:hAnsi="Arial" w:cs="Arial"/>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5" w15:restartNumberingAfterBreak="0">
    <w:nsid w:val="2988097F"/>
    <w:multiLevelType w:val="hybridMultilevel"/>
    <w:tmpl w:val="DF9AB0D8"/>
    <w:lvl w:ilvl="0" w:tplc="066234B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6" w15:restartNumberingAfterBreak="0">
    <w:nsid w:val="3F5A1D76"/>
    <w:multiLevelType w:val="hybridMultilevel"/>
    <w:tmpl w:val="9BCA0DBC"/>
    <w:lvl w:ilvl="0" w:tplc="66261D70">
      <w:start w:val="1"/>
      <w:numFmt w:val="bullet"/>
      <w:lvlText w:val="-"/>
      <w:lvlJc w:val="left"/>
      <w:pPr>
        <w:ind w:left="345" w:hanging="360"/>
      </w:pPr>
      <w:rPr>
        <w:rFonts w:ascii="Arial" w:eastAsiaTheme="minorHAnsi" w:hAnsi="Arial" w:cs="Arial" w:hint="default"/>
      </w:rPr>
    </w:lvl>
    <w:lvl w:ilvl="1" w:tplc="04050003" w:tentative="1">
      <w:start w:val="1"/>
      <w:numFmt w:val="bullet"/>
      <w:lvlText w:val="o"/>
      <w:lvlJc w:val="left"/>
      <w:pPr>
        <w:ind w:left="1065" w:hanging="360"/>
      </w:pPr>
      <w:rPr>
        <w:rFonts w:ascii="Courier New" w:hAnsi="Courier New" w:cs="Courier New" w:hint="default"/>
      </w:rPr>
    </w:lvl>
    <w:lvl w:ilvl="2" w:tplc="04050005" w:tentative="1">
      <w:start w:val="1"/>
      <w:numFmt w:val="bullet"/>
      <w:lvlText w:val=""/>
      <w:lvlJc w:val="left"/>
      <w:pPr>
        <w:ind w:left="1785" w:hanging="360"/>
      </w:pPr>
      <w:rPr>
        <w:rFonts w:ascii="Wingdings" w:hAnsi="Wingdings" w:hint="default"/>
      </w:rPr>
    </w:lvl>
    <w:lvl w:ilvl="3" w:tplc="04050001" w:tentative="1">
      <w:start w:val="1"/>
      <w:numFmt w:val="bullet"/>
      <w:lvlText w:val=""/>
      <w:lvlJc w:val="left"/>
      <w:pPr>
        <w:ind w:left="2505" w:hanging="360"/>
      </w:pPr>
      <w:rPr>
        <w:rFonts w:ascii="Symbol" w:hAnsi="Symbol" w:hint="default"/>
      </w:rPr>
    </w:lvl>
    <w:lvl w:ilvl="4" w:tplc="04050003" w:tentative="1">
      <w:start w:val="1"/>
      <w:numFmt w:val="bullet"/>
      <w:lvlText w:val="o"/>
      <w:lvlJc w:val="left"/>
      <w:pPr>
        <w:ind w:left="3225" w:hanging="360"/>
      </w:pPr>
      <w:rPr>
        <w:rFonts w:ascii="Courier New" w:hAnsi="Courier New" w:cs="Courier New" w:hint="default"/>
      </w:rPr>
    </w:lvl>
    <w:lvl w:ilvl="5" w:tplc="04050005" w:tentative="1">
      <w:start w:val="1"/>
      <w:numFmt w:val="bullet"/>
      <w:lvlText w:val=""/>
      <w:lvlJc w:val="left"/>
      <w:pPr>
        <w:ind w:left="3945" w:hanging="360"/>
      </w:pPr>
      <w:rPr>
        <w:rFonts w:ascii="Wingdings" w:hAnsi="Wingdings" w:hint="default"/>
      </w:rPr>
    </w:lvl>
    <w:lvl w:ilvl="6" w:tplc="04050001" w:tentative="1">
      <w:start w:val="1"/>
      <w:numFmt w:val="bullet"/>
      <w:lvlText w:val=""/>
      <w:lvlJc w:val="left"/>
      <w:pPr>
        <w:ind w:left="4665" w:hanging="360"/>
      </w:pPr>
      <w:rPr>
        <w:rFonts w:ascii="Symbol" w:hAnsi="Symbol" w:hint="default"/>
      </w:rPr>
    </w:lvl>
    <w:lvl w:ilvl="7" w:tplc="04050003" w:tentative="1">
      <w:start w:val="1"/>
      <w:numFmt w:val="bullet"/>
      <w:lvlText w:val="o"/>
      <w:lvlJc w:val="left"/>
      <w:pPr>
        <w:ind w:left="5385" w:hanging="360"/>
      </w:pPr>
      <w:rPr>
        <w:rFonts w:ascii="Courier New" w:hAnsi="Courier New" w:cs="Courier New" w:hint="default"/>
      </w:rPr>
    </w:lvl>
    <w:lvl w:ilvl="8" w:tplc="04050005" w:tentative="1">
      <w:start w:val="1"/>
      <w:numFmt w:val="bullet"/>
      <w:lvlText w:val=""/>
      <w:lvlJc w:val="left"/>
      <w:pPr>
        <w:ind w:left="6105" w:hanging="360"/>
      </w:pPr>
      <w:rPr>
        <w:rFonts w:ascii="Wingdings" w:hAnsi="Wingdings" w:hint="default"/>
      </w:rPr>
    </w:lvl>
  </w:abstractNum>
  <w:abstractNum w:abstractNumId="7" w15:restartNumberingAfterBreak="0">
    <w:nsid w:val="46882194"/>
    <w:multiLevelType w:val="hybridMultilevel"/>
    <w:tmpl w:val="09B49B16"/>
    <w:lvl w:ilvl="0" w:tplc="3F306272">
      <w:start w:val="1"/>
      <w:numFmt w:val="bullet"/>
      <w:lvlText w:val="-"/>
      <w:lvlJc w:val="left"/>
      <w:pPr>
        <w:ind w:left="705" w:hanging="360"/>
      </w:pPr>
      <w:rPr>
        <w:rFonts w:ascii="Arial" w:eastAsia="Calibri" w:hAnsi="Arial" w:cs="Arial" w:hint="default"/>
      </w:rPr>
    </w:lvl>
    <w:lvl w:ilvl="1" w:tplc="04050003" w:tentative="1">
      <w:start w:val="1"/>
      <w:numFmt w:val="bullet"/>
      <w:lvlText w:val="o"/>
      <w:lvlJc w:val="left"/>
      <w:pPr>
        <w:ind w:left="1425" w:hanging="360"/>
      </w:pPr>
      <w:rPr>
        <w:rFonts w:ascii="Courier New" w:hAnsi="Courier New" w:cs="Courier New" w:hint="default"/>
      </w:rPr>
    </w:lvl>
    <w:lvl w:ilvl="2" w:tplc="04050005" w:tentative="1">
      <w:start w:val="1"/>
      <w:numFmt w:val="bullet"/>
      <w:lvlText w:val=""/>
      <w:lvlJc w:val="left"/>
      <w:pPr>
        <w:ind w:left="2145" w:hanging="360"/>
      </w:pPr>
      <w:rPr>
        <w:rFonts w:ascii="Wingdings" w:hAnsi="Wingdings" w:hint="default"/>
      </w:rPr>
    </w:lvl>
    <w:lvl w:ilvl="3" w:tplc="04050001" w:tentative="1">
      <w:start w:val="1"/>
      <w:numFmt w:val="bullet"/>
      <w:lvlText w:val=""/>
      <w:lvlJc w:val="left"/>
      <w:pPr>
        <w:ind w:left="2865" w:hanging="360"/>
      </w:pPr>
      <w:rPr>
        <w:rFonts w:ascii="Symbol" w:hAnsi="Symbol" w:hint="default"/>
      </w:rPr>
    </w:lvl>
    <w:lvl w:ilvl="4" w:tplc="04050003" w:tentative="1">
      <w:start w:val="1"/>
      <w:numFmt w:val="bullet"/>
      <w:lvlText w:val="o"/>
      <w:lvlJc w:val="left"/>
      <w:pPr>
        <w:ind w:left="3585" w:hanging="360"/>
      </w:pPr>
      <w:rPr>
        <w:rFonts w:ascii="Courier New" w:hAnsi="Courier New" w:cs="Courier New" w:hint="default"/>
      </w:rPr>
    </w:lvl>
    <w:lvl w:ilvl="5" w:tplc="04050005" w:tentative="1">
      <w:start w:val="1"/>
      <w:numFmt w:val="bullet"/>
      <w:lvlText w:val=""/>
      <w:lvlJc w:val="left"/>
      <w:pPr>
        <w:ind w:left="4305" w:hanging="360"/>
      </w:pPr>
      <w:rPr>
        <w:rFonts w:ascii="Wingdings" w:hAnsi="Wingdings" w:hint="default"/>
      </w:rPr>
    </w:lvl>
    <w:lvl w:ilvl="6" w:tplc="04050001" w:tentative="1">
      <w:start w:val="1"/>
      <w:numFmt w:val="bullet"/>
      <w:lvlText w:val=""/>
      <w:lvlJc w:val="left"/>
      <w:pPr>
        <w:ind w:left="5025" w:hanging="360"/>
      </w:pPr>
      <w:rPr>
        <w:rFonts w:ascii="Symbol" w:hAnsi="Symbol" w:hint="default"/>
      </w:rPr>
    </w:lvl>
    <w:lvl w:ilvl="7" w:tplc="04050003" w:tentative="1">
      <w:start w:val="1"/>
      <w:numFmt w:val="bullet"/>
      <w:lvlText w:val="o"/>
      <w:lvlJc w:val="left"/>
      <w:pPr>
        <w:ind w:left="5745" w:hanging="360"/>
      </w:pPr>
      <w:rPr>
        <w:rFonts w:ascii="Courier New" w:hAnsi="Courier New" w:cs="Courier New" w:hint="default"/>
      </w:rPr>
    </w:lvl>
    <w:lvl w:ilvl="8" w:tplc="04050005" w:tentative="1">
      <w:start w:val="1"/>
      <w:numFmt w:val="bullet"/>
      <w:lvlText w:val=""/>
      <w:lvlJc w:val="left"/>
      <w:pPr>
        <w:ind w:left="6465" w:hanging="360"/>
      </w:pPr>
      <w:rPr>
        <w:rFonts w:ascii="Wingdings" w:hAnsi="Wingdings" w:hint="default"/>
      </w:rPr>
    </w:lvl>
  </w:abstractNum>
  <w:abstractNum w:abstractNumId="8" w15:restartNumberingAfterBreak="0">
    <w:nsid w:val="58E46094"/>
    <w:multiLevelType w:val="hybridMultilevel"/>
    <w:tmpl w:val="0666F1F8"/>
    <w:lvl w:ilvl="0" w:tplc="04050001">
      <w:start w:val="1"/>
      <w:numFmt w:val="bullet"/>
      <w:lvlText w:val=""/>
      <w:lvlJc w:val="left"/>
      <w:pPr>
        <w:ind w:left="721" w:hanging="360"/>
      </w:pPr>
      <w:rPr>
        <w:rFonts w:ascii="Symbol" w:hAnsi="Symbol" w:hint="default"/>
      </w:rPr>
    </w:lvl>
    <w:lvl w:ilvl="1" w:tplc="04050003">
      <w:start w:val="1"/>
      <w:numFmt w:val="bullet"/>
      <w:lvlText w:val="o"/>
      <w:lvlJc w:val="left"/>
      <w:pPr>
        <w:ind w:left="1441" w:hanging="360"/>
      </w:pPr>
      <w:rPr>
        <w:rFonts w:ascii="Courier New" w:hAnsi="Courier New" w:cs="Courier New" w:hint="default"/>
      </w:rPr>
    </w:lvl>
    <w:lvl w:ilvl="2" w:tplc="04050005">
      <w:start w:val="1"/>
      <w:numFmt w:val="bullet"/>
      <w:lvlText w:val=""/>
      <w:lvlJc w:val="left"/>
      <w:pPr>
        <w:ind w:left="2161" w:hanging="360"/>
      </w:pPr>
      <w:rPr>
        <w:rFonts w:ascii="Wingdings" w:hAnsi="Wingdings" w:hint="default"/>
      </w:rPr>
    </w:lvl>
    <w:lvl w:ilvl="3" w:tplc="04050001">
      <w:start w:val="1"/>
      <w:numFmt w:val="bullet"/>
      <w:lvlText w:val=""/>
      <w:lvlJc w:val="left"/>
      <w:pPr>
        <w:ind w:left="2881" w:hanging="360"/>
      </w:pPr>
      <w:rPr>
        <w:rFonts w:ascii="Symbol" w:hAnsi="Symbol" w:hint="default"/>
      </w:rPr>
    </w:lvl>
    <w:lvl w:ilvl="4" w:tplc="04050003">
      <w:start w:val="1"/>
      <w:numFmt w:val="bullet"/>
      <w:lvlText w:val="o"/>
      <w:lvlJc w:val="left"/>
      <w:pPr>
        <w:ind w:left="3601" w:hanging="360"/>
      </w:pPr>
      <w:rPr>
        <w:rFonts w:ascii="Courier New" w:hAnsi="Courier New" w:cs="Courier New" w:hint="default"/>
      </w:rPr>
    </w:lvl>
    <w:lvl w:ilvl="5" w:tplc="04050005">
      <w:start w:val="1"/>
      <w:numFmt w:val="bullet"/>
      <w:lvlText w:val=""/>
      <w:lvlJc w:val="left"/>
      <w:pPr>
        <w:ind w:left="4321" w:hanging="360"/>
      </w:pPr>
      <w:rPr>
        <w:rFonts w:ascii="Wingdings" w:hAnsi="Wingdings" w:hint="default"/>
      </w:rPr>
    </w:lvl>
    <w:lvl w:ilvl="6" w:tplc="04050001">
      <w:start w:val="1"/>
      <w:numFmt w:val="bullet"/>
      <w:lvlText w:val=""/>
      <w:lvlJc w:val="left"/>
      <w:pPr>
        <w:ind w:left="5041" w:hanging="360"/>
      </w:pPr>
      <w:rPr>
        <w:rFonts w:ascii="Symbol" w:hAnsi="Symbol" w:hint="default"/>
      </w:rPr>
    </w:lvl>
    <w:lvl w:ilvl="7" w:tplc="04050003">
      <w:start w:val="1"/>
      <w:numFmt w:val="bullet"/>
      <w:lvlText w:val="o"/>
      <w:lvlJc w:val="left"/>
      <w:pPr>
        <w:ind w:left="5761" w:hanging="360"/>
      </w:pPr>
      <w:rPr>
        <w:rFonts w:ascii="Courier New" w:hAnsi="Courier New" w:cs="Courier New" w:hint="default"/>
      </w:rPr>
    </w:lvl>
    <w:lvl w:ilvl="8" w:tplc="04050005">
      <w:start w:val="1"/>
      <w:numFmt w:val="bullet"/>
      <w:lvlText w:val=""/>
      <w:lvlJc w:val="left"/>
      <w:pPr>
        <w:ind w:left="6481" w:hanging="360"/>
      </w:pPr>
      <w:rPr>
        <w:rFonts w:ascii="Wingdings" w:hAnsi="Wingdings" w:hint="default"/>
      </w:rPr>
    </w:lvl>
  </w:abstractNum>
  <w:abstractNum w:abstractNumId="9" w15:restartNumberingAfterBreak="0">
    <w:nsid w:val="69BC2EA4"/>
    <w:multiLevelType w:val="hybridMultilevel"/>
    <w:tmpl w:val="1D1C3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6A004778"/>
    <w:multiLevelType w:val="hybridMultilevel"/>
    <w:tmpl w:val="F41A511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6A395D18"/>
    <w:multiLevelType w:val="hybridMultilevel"/>
    <w:tmpl w:val="C9160142"/>
    <w:lvl w:ilvl="0" w:tplc="90F21DCE">
      <w:start w:val="1"/>
      <w:numFmt w:val="lowerLetter"/>
      <w:lvlText w:val="%1)"/>
      <w:lvlJc w:val="left"/>
      <w:pPr>
        <w:ind w:left="705" w:hanging="360"/>
      </w:pPr>
      <w:rPr>
        <w:rFonts w:hint="default"/>
      </w:rPr>
    </w:lvl>
    <w:lvl w:ilvl="1" w:tplc="04050019" w:tentative="1">
      <w:start w:val="1"/>
      <w:numFmt w:val="lowerLetter"/>
      <w:lvlText w:val="%2."/>
      <w:lvlJc w:val="left"/>
      <w:pPr>
        <w:ind w:left="1425" w:hanging="360"/>
      </w:pPr>
    </w:lvl>
    <w:lvl w:ilvl="2" w:tplc="0405001B" w:tentative="1">
      <w:start w:val="1"/>
      <w:numFmt w:val="lowerRoman"/>
      <w:lvlText w:val="%3."/>
      <w:lvlJc w:val="right"/>
      <w:pPr>
        <w:ind w:left="2145" w:hanging="180"/>
      </w:pPr>
    </w:lvl>
    <w:lvl w:ilvl="3" w:tplc="0405000F" w:tentative="1">
      <w:start w:val="1"/>
      <w:numFmt w:val="decimal"/>
      <w:lvlText w:val="%4."/>
      <w:lvlJc w:val="left"/>
      <w:pPr>
        <w:ind w:left="2865" w:hanging="360"/>
      </w:pPr>
    </w:lvl>
    <w:lvl w:ilvl="4" w:tplc="04050019" w:tentative="1">
      <w:start w:val="1"/>
      <w:numFmt w:val="lowerLetter"/>
      <w:lvlText w:val="%5."/>
      <w:lvlJc w:val="left"/>
      <w:pPr>
        <w:ind w:left="3585" w:hanging="360"/>
      </w:pPr>
    </w:lvl>
    <w:lvl w:ilvl="5" w:tplc="0405001B" w:tentative="1">
      <w:start w:val="1"/>
      <w:numFmt w:val="lowerRoman"/>
      <w:lvlText w:val="%6."/>
      <w:lvlJc w:val="right"/>
      <w:pPr>
        <w:ind w:left="4305" w:hanging="180"/>
      </w:pPr>
    </w:lvl>
    <w:lvl w:ilvl="6" w:tplc="0405000F" w:tentative="1">
      <w:start w:val="1"/>
      <w:numFmt w:val="decimal"/>
      <w:lvlText w:val="%7."/>
      <w:lvlJc w:val="left"/>
      <w:pPr>
        <w:ind w:left="5025" w:hanging="360"/>
      </w:pPr>
    </w:lvl>
    <w:lvl w:ilvl="7" w:tplc="04050019" w:tentative="1">
      <w:start w:val="1"/>
      <w:numFmt w:val="lowerLetter"/>
      <w:lvlText w:val="%8."/>
      <w:lvlJc w:val="left"/>
      <w:pPr>
        <w:ind w:left="5745" w:hanging="360"/>
      </w:pPr>
    </w:lvl>
    <w:lvl w:ilvl="8" w:tplc="0405001B" w:tentative="1">
      <w:start w:val="1"/>
      <w:numFmt w:val="lowerRoman"/>
      <w:lvlText w:val="%9."/>
      <w:lvlJc w:val="right"/>
      <w:pPr>
        <w:ind w:left="6465" w:hanging="180"/>
      </w:pPr>
    </w:lvl>
  </w:abstractNum>
  <w:abstractNum w:abstractNumId="12" w15:restartNumberingAfterBreak="0">
    <w:nsid w:val="6EE815A3"/>
    <w:multiLevelType w:val="hybridMultilevel"/>
    <w:tmpl w:val="F81CF32C"/>
    <w:lvl w:ilvl="0" w:tplc="65A26D1A">
      <w:start w:val="1"/>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3604756">
    <w:abstractNumId w:val="0"/>
  </w:num>
  <w:num w:numId="2" w16cid:durableId="1588807804">
    <w:abstractNumId w:val="9"/>
  </w:num>
  <w:num w:numId="3" w16cid:durableId="2046130409">
    <w:abstractNumId w:val="4"/>
  </w:num>
  <w:num w:numId="4" w16cid:durableId="970135729">
    <w:abstractNumId w:val="11"/>
  </w:num>
  <w:num w:numId="5" w16cid:durableId="810757378">
    <w:abstractNumId w:val="12"/>
  </w:num>
  <w:num w:numId="6" w16cid:durableId="2012680817">
    <w:abstractNumId w:val="6"/>
  </w:num>
  <w:num w:numId="7" w16cid:durableId="1584145022">
    <w:abstractNumId w:val="5"/>
  </w:num>
  <w:num w:numId="8" w16cid:durableId="258416908">
    <w:abstractNumId w:val="2"/>
  </w:num>
  <w:num w:numId="9" w16cid:durableId="2041008875">
    <w:abstractNumId w:val="7"/>
  </w:num>
  <w:num w:numId="10" w16cid:durableId="748425679">
    <w:abstractNumId w:val="3"/>
  </w:num>
  <w:num w:numId="11" w16cid:durableId="683747152">
    <w:abstractNumId w:val="8"/>
  </w:num>
  <w:num w:numId="12" w16cid:durableId="117376252">
    <w:abstractNumId w:val="10"/>
  </w:num>
  <w:num w:numId="13" w16cid:durableId="672955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0CF"/>
    <w:rsid w:val="00003292"/>
    <w:rsid w:val="00003762"/>
    <w:rsid w:val="00007B29"/>
    <w:rsid w:val="00025AC8"/>
    <w:rsid w:val="00045AD0"/>
    <w:rsid w:val="0004766E"/>
    <w:rsid w:val="000537D7"/>
    <w:rsid w:val="00056E6A"/>
    <w:rsid w:val="000741E3"/>
    <w:rsid w:val="00077126"/>
    <w:rsid w:val="00083248"/>
    <w:rsid w:val="00087658"/>
    <w:rsid w:val="0009503C"/>
    <w:rsid w:val="000B2AE5"/>
    <w:rsid w:val="000B3C18"/>
    <w:rsid w:val="000B3ECB"/>
    <w:rsid w:val="000C03BE"/>
    <w:rsid w:val="000C6B79"/>
    <w:rsid w:val="000E2C64"/>
    <w:rsid w:val="001049DE"/>
    <w:rsid w:val="0010721B"/>
    <w:rsid w:val="00112F91"/>
    <w:rsid w:val="00123BAE"/>
    <w:rsid w:val="00142850"/>
    <w:rsid w:val="00143E7B"/>
    <w:rsid w:val="001472E1"/>
    <w:rsid w:val="00152827"/>
    <w:rsid w:val="00162432"/>
    <w:rsid w:val="00164BBC"/>
    <w:rsid w:val="00167F18"/>
    <w:rsid w:val="00173F4D"/>
    <w:rsid w:val="00175775"/>
    <w:rsid w:val="00183EEC"/>
    <w:rsid w:val="00192BDE"/>
    <w:rsid w:val="001A3423"/>
    <w:rsid w:val="001B34D9"/>
    <w:rsid w:val="001C26F7"/>
    <w:rsid w:val="001C38DE"/>
    <w:rsid w:val="001C7E37"/>
    <w:rsid w:val="001D0E07"/>
    <w:rsid w:val="001D158E"/>
    <w:rsid w:val="001D15CB"/>
    <w:rsid w:val="001D5235"/>
    <w:rsid w:val="001E4127"/>
    <w:rsid w:val="001E6858"/>
    <w:rsid w:val="001E6864"/>
    <w:rsid w:val="001E6914"/>
    <w:rsid w:val="001F4BE6"/>
    <w:rsid w:val="001F70DF"/>
    <w:rsid w:val="002008FE"/>
    <w:rsid w:val="002012CC"/>
    <w:rsid w:val="00215159"/>
    <w:rsid w:val="00225F02"/>
    <w:rsid w:val="00232CBE"/>
    <w:rsid w:val="00244A62"/>
    <w:rsid w:val="002530DD"/>
    <w:rsid w:val="00254E1E"/>
    <w:rsid w:val="0026408B"/>
    <w:rsid w:val="00266E78"/>
    <w:rsid w:val="002726E7"/>
    <w:rsid w:val="00273118"/>
    <w:rsid w:val="0027431F"/>
    <w:rsid w:val="00291B33"/>
    <w:rsid w:val="002A183F"/>
    <w:rsid w:val="002A1A8E"/>
    <w:rsid w:val="002A33F3"/>
    <w:rsid w:val="002A60D0"/>
    <w:rsid w:val="002B3033"/>
    <w:rsid w:val="002B7C92"/>
    <w:rsid w:val="002C050A"/>
    <w:rsid w:val="002C2749"/>
    <w:rsid w:val="002E633F"/>
    <w:rsid w:val="002F11A1"/>
    <w:rsid w:val="002F20E5"/>
    <w:rsid w:val="0030089C"/>
    <w:rsid w:val="00314DCA"/>
    <w:rsid w:val="00320321"/>
    <w:rsid w:val="003218F7"/>
    <w:rsid w:val="003316B0"/>
    <w:rsid w:val="00331CA6"/>
    <w:rsid w:val="00332038"/>
    <w:rsid w:val="00344EEB"/>
    <w:rsid w:val="00347084"/>
    <w:rsid w:val="00350179"/>
    <w:rsid w:val="003512E4"/>
    <w:rsid w:val="00351811"/>
    <w:rsid w:val="00351DAF"/>
    <w:rsid w:val="00356AB4"/>
    <w:rsid w:val="00357ED5"/>
    <w:rsid w:val="00361995"/>
    <w:rsid w:val="00363379"/>
    <w:rsid w:val="00367F06"/>
    <w:rsid w:val="00373649"/>
    <w:rsid w:val="00376A4E"/>
    <w:rsid w:val="0037728A"/>
    <w:rsid w:val="00380F99"/>
    <w:rsid w:val="00394455"/>
    <w:rsid w:val="003A1EB3"/>
    <w:rsid w:val="003A2F6D"/>
    <w:rsid w:val="003B0C20"/>
    <w:rsid w:val="003D1767"/>
    <w:rsid w:val="003E0576"/>
    <w:rsid w:val="003E3B73"/>
    <w:rsid w:val="003E3B85"/>
    <w:rsid w:val="003F2528"/>
    <w:rsid w:val="00403A3E"/>
    <w:rsid w:val="00432A70"/>
    <w:rsid w:val="0043419B"/>
    <w:rsid w:val="0046373B"/>
    <w:rsid w:val="00466260"/>
    <w:rsid w:val="00481BC7"/>
    <w:rsid w:val="00491115"/>
    <w:rsid w:val="00493D8C"/>
    <w:rsid w:val="00494584"/>
    <w:rsid w:val="00494ACB"/>
    <w:rsid w:val="00495788"/>
    <w:rsid w:val="0049637D"/>
    <w:rsid w:val="004B1BD5"/>
    <w:rsid w:val="004B5F60"/>
    <w:rsid w:val="004C7AEE"/>
    <w:rsid w:val="004E699A"/>
    <w:rsid w:val="004F3AA9"/>
    <w:rsid w:val="004F6A48"/>
    <w:rsid w:val="004F7315"/>
    <w:rsid w:val="005064D6"/>
    <w:rsid w:val="005257CC"/>
    <w:rsid w:val="00526090"/>
    <w:rsid w:val="0052640B"/>
    <w:rsid w:val="00540278"/>
    <w:rsid w:val="00541FB6"/>
    <w:rsid w:val="005545CE"/>
    <w:rsid w:val="00557B14"/>
    <w:rsid w:val="005702A5"/>
    <w:rsid w:val="00571350"/>
    <w:rsid w:val="00572CFD"/>
    <w:rsid w:val="00574953"/>
    <w:rsid w:val="00577B57"/>
    <w:rsid w:val="005837B9"/>
    <w:rsid w:val="0059117C"/>
    <w:rsid w:val="005923C5"/>
    <w:rsid w:val="00592C1D"/>
    <w:rsid w:val="005A0FA4"/>
    <w:rsid w:val="005A2DEE"/>
    <w:rsid w:val="005A3A49"/>
    <w:rsid w:val="005B2A55"/>
    <w:rsid w:val="005B408C"/>
    <w:rsid w:val="005C435F"/>
    <w:rsid w:val="005C7BB4"/>
    <w:rsid w:val="005D105B"/>
    <w:rsid w:val="005E04A6"/>
    <w:rsid w:val="005E176F"/>
    <w:rsid w:val="005E32DE"/>
    <w:rsid w:val="005E3D23"/>
    <w:rsid w:val="005E3D51"/>
    <w:rsid w:val="005E755C"/>
    <w:rsid w:val="005F0256"/>
    <w:rsid w:val="005F02EF"/>
    <w:rsid w:val="005F0D9E"/>
    <w:rsid w:val="005F2E97"/>
    <w:rsid w:val="005F540D"/>
    <w:rsid w:val="005F776A"/>
    <w:rsid w:val="005F7F53"/>
    <w:rsid w:val="00600999"/>
    <w:rsid w:val="0060731F"/>
    <w:rsid w:val="00607C21"/>
    <w:rsid w:val="0061127C"/>
    <w:rsid w:val="0062723D"/>
    <w:rsid w:val="00647532"/>
    <w:rsid w:val="006517CE"/>
    <w:rsid w:val="00653A86"/>
    <w:rsid w:val="0065534B"/>
    <w:rsid w:val="00655DC6"/>
    <w:rsid w:val="00656822"/>
    <w:rsid w:val="00663C7B"/>
    <w:rsid w:val="00667CA9"/>
    <w:rsid w:val="0067161E"/>
    <w:rsid w:val="00680E41"/>
    <w:rsid w:val="00681DA5"/>
    <w:rsid w:val="006957ED"/>
    <w:rsid w:val="006A3F4D"/>
    <w:rsid w:val="006C3C84"/>
    <w:rsid w:val="006D428D"/>
    <w:rsid w:val="006E3BFD"/>
    <w:rsid w:val="006E4666"/>
    <w:rsid w:val="006F6413"/>
    <w:rsid w:val="0070124B"/>
    <w:rsid w:val="00705A70"/>
    <w:rsid w:val="00713366"/>
    <w:rsid w:val="00716BC9"/>
    <w:rsid w:val="0072332D"/>
    <w:rsid w:val="00723AB3"/>
    <w:rsid w:val="00723EFD"/>
    <w:rsid w:val="0073117A"/>
    <w:rsid w:val="00735C36"/>
    <w:rsid w:val="0074340E"/>
    <w:rsid w:val="00751AA2"/>
    <w:rsid w:val="00752488"/>
    <w:rsid w:val="0075374E"/>
    <w:rsid w:val="00767F8F"/>
    <w:rsid w:val="0077090F"/>
    <w:rsid w:val="00771930"/>
    <w:rsid w:val="00774999"/>
    <w:rsid w:val="00787B23"/>
    <w:rsid w:val="00794AD6"/>
    <w:rsid w:val="00797487"/>
    <w:rsid w:val="007B074A"/>
    <w:rsid w:val="007C3195"/>
    <w:rsid w:val="007C3CD8"/>
    <w:rsid w:val="007C40CF"/>
    <w:rsid w:val="007C7FDD"/>
    <w:rsid w:val="007D088B"/>
    <w:rsid w:val="007E237F"/>
    <w:rsid w:val="007E4F0B"/>
    <w:rsid w:val="008040D0"/>
    <w:rsid w:val="008078D2"/>
    <w:rsid w:val="00807D68"/>
    <w:rsid w:val="0081160A"/>
    <w:rsid w:val="0081271E"/>
    <w:rsid w:val="00820008"/>
    <w:rsid w:val="00820628"/>
    <w:rsid w:val="0082074C"/>
    <w:rsid w:val="008221A7"/>
    <w:rsid w:val="0084569F"/>
    <w:rsid w:val="00862CB6"/>
    <w:rsid w:val="008632A4"/>
    <w:rsid w:val="00863463"/>
    <w:rsid w:val="00867DDD"/>
    <w:rsid w:val="00867FE0"/>
    <w:rsid w:val="00872110"/>
    <w:rsid w:val="0087424D"/>
    <w:rsid w:val="008764A5"/>
    <w:rsid w:val="00885497"/>
    <w:rsid w:val="00890135"/>
    <w:rsid w:val="0089254F"/>
    <w:rsid w:val="008D0EB8"/>
    <w:rsid w:val="008D428E"/>
    <w:rsid w:val="008D58EF"/>
    <w:rsid w:val="008F22C0"/>
    <w:rsid w:val="009023B0"/>
    <w:rsid w:val="0090767D"/>
    <w:rsid w:val="00917CF5"/>
    <w:rsid w:val="0092339C"/>
    <w:rsid w:val="009266E9"/>
    <w:rsid w:val="0093072B"/>
    <w:rsid w:val="009418B2"/>
    <w:rsid w:val="00947353"/>
    <w:rsid w:val="00953EF6"/>
    <w:rsid w:val="00954099"/>
    <w:rsid w:val="00955DA0"/>
    <w:rsid w:val="00963E3E"/>
    <w:rsid w:val="0097002E"/>
    <w:rsid w:val="00970F06"/>
    <w:rsid w:val="00971704"/>
    <w:rsid w:val="00972523"/>
    <w:rsid w:val="00975F65"/>
    <w:rsid w:val="0098033A"/>
    <w:rsid w:val="00987BA8"/>
    <w:rsid w:val="00994318"/>
    <w:rsid w:val="009A419B"/>
    <w:rsid w:val="009A49E2"/>
    <w:rsid w:val="009A7490"/>
    <w:rsid w:val="009C191D"/>
    <w:rsid w:val="009C6AFE"/>
    <w:rsid w:val="009E32D6"/>
    <w:rsid w:val="009F1822"/>
    <w:rsid w:val="009F25E5"/>
    <w:rsid w:val="009F2D9C"/>
    <w:rsid w:val="009F4279"/>
    <w:rsid w:val="009F5ADB"/>
    <w:rsid w:val="00A04DA8"/>
    <w:rsid w:val="00A13513"/>
    <w:rsid w:val="00A14E7B"/>
    <w:rsid w:val="00A161BD"/>
    <w:rsid w:val="00A36B0E"/>
    <w:rsid w:val="00A51854"/>
    <w:rsid w:val="00A51959"/>
    <w:rsid w:val="00A53580"/>
    <w:rsid w:val="00A54485"/>
    <w:rsid w:val="00A558E2"/>
    <w:rsid w:val="00A57931"/>
    <w:rsid w:val="00A64DC1"/>
    <w:rsid w:val="00A66848"/>
    <w:rsid w:val="00A81783"/>
    <w:rsid w:val="00A92DB6"/>
    <w:rsid w:val="00A93B4E"/>
    <w:rsid w:val="00A95A44"/>
    <w:rsid w:val="00AD2EE9"/>
    <w:rsid w:val="00AF0445"/>
    <w:rsid w:val="00AF2B4F"/>
    <w:rsid w:val="00AF5C19"/>
    <w:rsid w:val="00AF5F5D"/>
    <w:rsid w:val="00AF6C9F"/>
    <w:rsid w:val="00B0150D"/>
    <w:rsid w:val="00B0403D"/>
    <w:rsid w:val="00B04C40"/>
    <w:rsid w:val="00B05C63"/>
    <w:rsid w:val="00B205BA"/>
    <w:rsid w:val="00B20F24"/>
    <w:rsid w:val="00B25A18"/>
    <w:rsid w:val="00B35984"/>
    <w:rsid w:val="00B35D98"/>
    <w:rsid w:val="00B37AAB"/>
    <w:rsid w:val="00B40171"/>
    <w:rsid w:val="00B44F4B"/>
    <w:rsid w:val="00B473BD"/>
    <w:rsid w:val="00B47B0E"/>
    <w:rsid w:val="00B525B4"/>
    <w:rsid w:val="00B553B1"/>
    <w:rsid w:val="00B97A9C"/>
    <w:rsid w:val="00BA1045"/>
    <w:rsid w:val="00BD02A1"/>
    <w:rsid w:val="00BE29F2"/>
    <w:rsid w:val="00BF157C"/>
    <w:rsid w:val="00BF40BB"/>
    <w:rsid w:val="00BF5CA1"/>
    <w:rsid w:val="00BF7B7B"/>
    <w:rsid w:val="00C06823"/>
    <w:rsid w:val="00C21585"/>
    <w:rsid w:val="00C217AA"/>
    <w:rsid w:val="00C241B4"/>
    <w:rsid w:val="00C36C05"/>
    <w:rsid w:val="00C41758"/>
    <w:rsid w:val="00C43D14"/>
    <w:rsid w:val="00C4704F"/>
    <w:rsid w:val="00C53772"/>
    <w:rsid w:val="00C64499"/>
    <w:rsid w:val="00C70F51"/>
    <w:rsid w:val="00C72655"/>
    <w:rsid w:val="00C751DD"/>
    <w:rsid w:val="00C8133E"/>
    <w:rsid w:val="00C85899"/>
    <w:rsid w:val="00C92240"/>
    <w:rsid w:val="00C937E8"/>
    <w:rsid w:val="00C9701C"/>
    <w:rsid w:val="00C97D46"/>
    <w:rsid w:val="00CB091F"/>
    <w:rsid w:val="00CC49A8"/>
    <w:rsid w:val="00CC4AAF"/>
    <w:rsid w:val="00CD11D7"/>
    <w:rsid w:val="00CD1AEA"/>
    <w:rsid w:val="00CE40CA"/>
    <w:rsid w:val="00CE6C09"/>
    <w:rsid w:val="00CE7269"/>
    <w:rsid w:val="00CF3CF9"/>
    <w:rsid w:val="00CF6F01"/>
    <w:rsid w:val="00D00046"/>
    <w:rsid w:val="00D03238"/>
    <w:rsid w:val="00D100A7"/>
    <w:rsid w:val="00D13339"/>
    <w:rsid w:val="00D143D2"/>
    <w:rsid w:val="00D16725"/>
    <w:rsid w:val="00D2107A"/>
    <w:rsid w:val="00D230ED"/>
    <w:rsid w:val="00D327B9"/>
    <w:rsid w:val="00D329DD"/>
    <w:rsid w:val="00D33380"/>
    <w:rsid w:val="00D438BE"/>
    <w:rsid w:val="00D54C32"/>
    <w:rsid w:val="00D66CD2"/>
    <w:rsid w:val="00D740FF"/>
    <w:rsid w:val="00D763A0"/>
    <w:rsid w:val="00D806B7"/>
    <w:rsid w:val="00D82F55"/>
    <w:rsid w:val="00D8316C"/>
    <w:rsid w:val="00D854CB"/>
    <w:rsid w:val="00D93C0C"/>
    <w:rsid w:val="00D966A5"/>
    <w:rsid w:val="00DA113C"/>
    <w:rsid w:val="00DB2730"/>
    <w:rsid w:val="00DC5B7E"/>
    <w:rsid w:val="00DC5BC3"/>
    <w:rsid w:val="00DD50A3"/>
    <w:rsid w:val="00DD7297"/>
    <w:rsid w:val="00DE66EF"/>
    <w:rsid w:val="00DF4E85"/>
    <w:rsid w:val="00DF552F"/>
    <w:rsid w:val="00E01D17"/>
    <w:rsid w:val="00E07A2F"/>
    <w:rsid w:val="00E10228"/>
    <w:rsid w:val="00E17BF0"/>
    <w:rsid w:val="00E20DA1"/>
    <w:rsid w:val="00E278D8"/>
    <w:rsid w:val="00E27FB5"/>
    <w:rsid w:val="00E30299"/>
    <w:rsid w:val="00E41435"/>
    <w:rsid w:val="00E53779"/>
    <w:rsid w:val="00E561BC"/>
    <w:rsid w:val="00E604AE"/>
    <w:rsid w:val="00E64BC8"/>
    <w:rsid w:val="00E8312C"/>
    <w:rsid w:val="00E90D9C"/>
    <w:rsid w:val="00E9513F"/>
    <w:rsid w:val="00EA1C2C"/>
    <w:rsid w:val="00EA1D75"/>
    <w:rsid w:val="00EA30CC"/>
    <w:rsid w:val="00EA350F"/>
    <w:rsid w:val="00EA39B4"/>
    <w:rsid w:val="00EA4070"/>
    <w:rsid w:val="00EB6C69"/>
    <w:rsid w:val="00EC225A"/>
    <w:rsid w:val="00EC4680"/>
    <w:rsid w:val="00ED4CDF"/>
    <w:rsid w:val="00ED59F7"/>
    <w:rsid w:val="00EF3E1F"/>
    <w:rsid w:val="00EF59B9"/>
    <w:rsid w:val="00F04CDC"/>
    <w:rsid w:val="00F168AF"/>
    <w:rsid w:val="00F230AC"/>
    <w:rsid w:val="00F34A6A"/>
    <w:rsid w:val="00F4039A"/>
    <w:rsid w:val="00F43A76"/>
    <w:rsid w:val="00F44180"/>
    <w:rsid w:val="00F4644A"/>
    <w:rsid w:val="00F50FE8"/>
    <w:rsid w:val="00F51690"/>
    <w:rsid w:val="00F53C17"/>
    <w:rsid w:val="00F55D33"/>
    <w:rsid w:val="00F679CA"/>
    <w:rsid w:val="00F70689"/>
    <w:rsid w:val="00F70880"/>
    <w:rsid w:val="00F77C9D"/>
    <w:rsid w:val="00FB39B8"/>
    <w:rsid w:val="00FB65AE"/>
    <w:rsid w:val="00FD0861"/>
    <w:rsid w:val="00FD185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B64AC"/>
  <w15:chartTrackingRefBased/>
  <w15:docId w15:val="{A6B7E4F7-B832-45EB-B1F5-D1FAA85C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next w:val="Normln"/>
    <w:link w:val="Nadpis3Char"/>
    <w:uiPriority w:val="9"/>
    <w:unhideWhenUsed/>
    <w:qFormat/>
    <w:rsid w:val="004F7315"/>
    <w:pPr>
      <w:keepNext/>
      <w:keepLines/>
      <w:spacing w:before="120" w:after="240"/>
      <w:jc w:val="both"/>
      <w:outlineLvl w:val="2"/>
    </w:pPr>
    <w:rPr>
      <w:rFonts w:ascii="Arial" w:eastAsia="Times New Roman" w:hAnsi="Arial" w:cs="Times New Roman"/>
      <w:b/>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07D6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07D68"/>
  </w:style>
  <w:style w:type="paragraph" w:styleId="Zpat">
    <w:name w:val="footer"/>
    <w:basedOn w:val="Normln"/>
    <w:link w:val="ZpatChar"/>
    <w:uiPriority w:val="99"/>
    <w:unhideWhenUsed/>
    <w:rsid w:val="00807D68"/>
    <w:pPr>
      <w:tabs>
        <w:tab w:val="center" w:pos="4536"/>
        <w:tab w:val="right" w:pos="9072"/>
      </w:tabs>
      <w:spacing w:after="0" w:line="240" w:lineRule="auto"/>
    </w:pPr>
  </w:style>
  <w:style w:type="character" w:customStyle="1" w:styleId="ZpatChar">
    <w:name w:val="Zápatí Char"/>
    <w:basedOn w:val="Standardnpsmoodstavce"/>
    <w:link w:val="Zpat"/>
    <w:uiPriority w:val="99"/>
    <w:rsid w:val="00807D68"/>
  </w:style>
  <w:style w:type="table" w:styleId="Mkatabulky">
    <w:name w:val="Table Grid"/>
    <w:basedOn w:val="Normlntabulka"/>
    <w:uiPriority w:val="39"/>
    <w:rsid w:val="00B44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C1D"/>
    <w:pPr>
      <w:autoSpaceDE w:val="0"/>
      <w:autoSpaceDN w:val="0"/>
      <w:adjustRightInd w:val="0"/>
      <w:spacing w:after="0" w:line="240" w:lineRule="auto"/>
    </w:pPr>
    <w:rPr>
      <w:rFonts w:ascii="Arial" w:eastAsia="Calibri" w:hAnsi="Arial" w:cs="Arial"/>
      <w:color w:val="000000"/>
      <w:sz w:val="24"/>
      <w:szCs w:val="24"/>
    </w:rPr>
  </w:style>
  <w:style w:type="paragraph" w:styleId="Odstavecseseznamem">
    <w:name w:val="List Paragraph"/>
    <w:basedOn w:val="Normln"/>
    <w:uiPriority w:val="34"/>
    <w:qFormat/>
    <w:rsid w:val="00F53C17"/>
    <w:pPr>
      <w:spacing w:after="200" w:line="276" w:lineRule="auto"/>
      <w:ind w:left="720"/>
      <w:contextualSpacing/>
    </w:pPr>
    <w:rPr>
      <w:rFonts w:ascii="Calibri" w:eastAsia="Calibri" w:hAnsi="Calibri" w:cs="Times New Roman"/>
    </w:rPr>
  </w:style>
  <w:style w:type="paragraph" w:styleId="Bezmezer">
    <w:name w:val="No Spacing"/>
    <w:link w:val="BezmezerChar"/>
    <w:uiPriority w:val="1"/>
    <w:qFormat/>
    <w:rsid w:val="006D428D"/>
    <w:pPr>
      <w:spacing w:after="0" w:line="240" w:lineRule="auto"/>
    </w:pPr>
    <w:rPr>
      <w:rFonts w:ascii="Times New Roman" w:eastAsia="Times New Roman" w:hAnsi="Times New Roman" w:cs="Times New Roman"/>
      <w:sz w:val="24"/>
      <w:szCs w:val="24"/>
      <w:lang w:eastAsia="cs-CZ"/>
    </w:rPr>
  </w:style>
  <w:style w:type="character" w:customStyle="1" w:styleId="BezmezerChar">
    <w:name w:val="Bez mezer Char"/>
    <w:link w:val="Bezmezer"/>
    <w:uiPriority w:val="1"/>
    <w:locked/>
    <w:rsid w:val="006D428D"/>
    <w:rPr>
      <w:rFonts w:ascii="Times New Roman" w:eastAsia="Times New Roman" w:hAnsi="Times New Roman" w:cs="Times New Roman"/>
      <w:sz w:val="24"/>
      <w:szCs w:val="24"/>
      <w:lang w:eastAsia="cs-CZ"/>
    </w:rPr>
  </w:style>
  <w:style w:type="paragraph" w:styleId="Revize">
    <w:name w:val="Revision"/>
    <w:hidden/>
    <w:uiPriority w:val="99"/>
    <w:semiHidden/>
    <w:rsid w:val="00574953"/>
    <w:pPr>
      <w:spacing w:after="0" w:line="240" w:lineRule="auto"/>
    </w:pPr>
  </w:style>
  <w:style w:type="paragraph" w:styleId="Prosttext">
    <w:name w:val="Plain Text"/>
    <w:basedOn w:val="Normln"/>
    <w:link w:val="ProsttextChar"/>
    <w:uiPriority w:val="99"/>
    <w:unhideWhenUsed/>
    <w:rsid w:val="00FD185E"/>
    <w:pPr>
      <w:spacing w:after="0" w:line="240" w:lineRule="auto"/>
    </w:pPr>
    <w:rPr>
      <w:rFonts w:ascii="Calibri" w:eastAsia="Calibri" w:hAnsi="Calibri" w:cs="Times New Roman"/>
      <w:szCs w:val="21"/>
    </w:rPr>
  </w:style>
  <w:style w:type="character" w:customStyle="1" w:styleId="ProsttextChar">
    <w:name w:val="Prostý text Char"/>
    <w:basedOn w:val="Standardnpsmoodstavce"/>
    <w:link w:val="Prosttext"/>
    <w:uiPriority w:val="99"/>
    <w:rsid w:val="00FD185E"/>
    <w:rPr>
      <w:rFonts w:ascii="Calibri" w:eastAsia="Calibri" w:hAnsi="Calibri" w:cs="Times New Roman"/>
      <w:szCs w:val="21"/>
    </w:rPr>
  </w:style>
  <w:style w:type="character" w:styleId="Odkaznakoment">
    <w:name w:val="annotation reference"/>
    <w:basedOn w:val="Standardnpsmoodstavce"/>
    <w:uiPriority w:val="99"/>
    <w:semiHidden/>
    <w:unhideWhenUsed/>
    <w:rsid w:val="009A419B"/>
    <w:rPr>
      <w:sz w:val="16"/>
      <w:szCs w:val="16"/>
    </w:rPr>
  </w:style>
  <w:style w:type="paragraph" w:styleId="Textkomente">
    <w:name w:val="annotation text"/>
    <w:basedOn w:val="Normln"/>
    <w:link w:val="TextkomenteChar"/>
    <w:uiPriority w:val="99"/>
    <w:unhideWhenUsed/>
    <w:rsid w:val="009A419B"/>
    <w:pPr>
      <w:spacing w:line="240" w:lineRule="auto"/>
    </w:pPr>
    <w:rPr>
      <w:sz w:val="20"/>
      <w:szCs w:val="20"/>
    </w:rPr>
  </w:style>
  <w:style w:type="character" w:customStyle="1" w:styleId="TextkomenteChar">
    <w:name w:val="Text komentáře Char"/>
    <w:basedOn w:val="Standardnpsmoodstavce"/>
    <w:link w:val="Textkomente"/>
    <w:uiPriority w:val="99"/>
    <w:rsid w:val="009A419B"/>
    <w:rPr>
      <w:sz w:val="20"/>
      <w:szCs w:val="20"/>
    </w:rPr>
  </w:style>
  <w:style w:type="paragraph" w:styleId="Pedmtkomente">
    <w:name w:val="annotation subject"/>
    <w:basedOn w:val="Textkomente"/>
    <w:next w:val="Textkomente"/>
    <w:link w:val="PedmtkomenteChar"/>
    <w:uiPriority w:val="99"/>
    <w:semiHidden/>
    <w:unhideWhenUsed/>
    <w:rsid w:val="009A419B"/>
    <w:rPr>
      <w:b/>
      <w:bCs/>
    </w:rPr>
  </w:style>
  <w:style w:type="character" w:customStyle="1" w:styleId="PedmtkomenteChar">
    <w:name w:val="Předmět komentáře Char"/>
    <w:basedOn w:val="TextkomenteChar"/>
    <w:link w:val="Pedmtkomente"/>
    <w:uiPriority w:val="99"/>
    <w:semiHidden/>
    <w:rsid w:val="009A419B"/>
    <w:rPr>
      <w:b/>
      <w:bCs/>
      <w:sz w:val="20"/>
      <w:szCs w:val="20"/>
    </w:rPr>
  </w:style>
  <w:style w:type="character" w:styleId="Siln">
    <w:name w:val="Strong"/>
    <w:basedOn w:val="Standardnpsmoodstavce"/>
    <w:uiPriority w:val="22"/>
    <w:qFormat/>
    <w:rsid w:val="00EC4680"/>
    <w:rPr>
      <w:b/>
      <w:bCs/>
    </w:rPr>
  </w:style>
  <w:style w:type="character" w:customStyle="1" w:styleId="relative">
    <w:name w:val="relative"/>
    <w:basedOn w:val="Standardnpsmoodstavce"/>
    <w:rsid w:val="00EC4680"/>
  </w:style>
  <w:style w:type="character" w:customStyle="1" w:styleId="Nadpis3Char">
    <w:name w:val="Nadpis 3 Char"/>
    <w:basedOn w:val="Standardnpsmoodstavce"/>
    <w:link w:val="Nadpis3"/>
    <w:uiPriority w:val="9"/>
    <w:rsid w:val="004F7315"/>
    <w:rPr>
      <w:rFonts w:ascii="Arial" w:eastAsia="Times New Roman" w:hAnsi="Arial" w:cs="Times New Roman"/>
      <w:b/>
      <w:szCs w:val="24"/>
    </w:rPr>
  </w:style>
  <w:style w:type="paragraph" w:styleId="Normlnweb">
    <w:name w:val="Normal (Web)"/>
    <w:basedOn w:val="Normln"/>
    <w:uiPriority w:val="99"/>
    <w:unhideWhenUsed/>
    <w:rsid w:val="004F7315"/>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536920">
      <w:bodyDiv w:val="1"/>
      <w:marLeft w:val="0"/>
      <w:marRight w:val="0"/>
      <w:marTop w:val="0"/>
      <w:marBottom w:val="0"/>
      <w:divBdr>
        <w:top w:val="none" w:sz="0" w:space="0" w:color="auto"/>
        <w:left w:val="none" w:sz="0" w:space="0" w:color="auto"/>
        <w:bottom w:val="none" w:sz="0" w:space="0" w:color="auto"/>
        <w:right w:val="none" w:sz="0" w:space="0" w:color="auto"/>
      </w:divBdr>
      <w:divsChild>
        <w:div w:id="2133817796">
          <w:marLeft w:val="0"/>
          <w:marRight w:val="0"/>
          <w:marTop w:val="0"/>
          <w:marBottom w:val="0"/>
          <w:divBdr>
            <w:top w:val="none" w:sz="0" w:space="0" w:color="auto"/>
            <w:left w:val="none" w:sz="0" w:space="0" w:color="auto"/>
            <w:bottom w:val="none" w:sz="0" w:space="0" w:color="auto"/>
            <w:right w:val="none" w:sz="0" w:space="0" w:color="auto"/>
          </w:divBdr>
        </w:div>
      </w:divsChild>
    </w:div>
    <w:div w:id="800340286">
      <w:bodyDiv w:val="1"/>
      <w:marLeft w:val="0"/>
      <w:marRight w:val="0"/>
      <w:marTop w:val="0"/>
      <w:marBottom w:val="0"/>
      <w:divBdr>
        <w:top w:val="none" w:sz="0" w:space="0" w:color="auto"/>
        <w:left w:val="none" w:sz="0" w:space="0" w:color="auto"/>
        <w:bottom w:val="none" w:sz="0" w:space="0" w:color="auto"/>
        <w:right w:val="none" w:sz="0" w:space="0" w:color="auto"/>
      </w:divBdr>
      <w:divsChild>
        <w:div w:id="1306810315">
          <w:marLeft w:val="0"/>
          <w:marRight w:val="0"/>
          <w:marTop w:val="0"/>
          <w:marBottom w:val="0"/>
          <w:divBdr>
            <w:top w:val="none" w:sz="0" w:space="0" w:color="auto"/>
            <w:left w:val="none" w:sz="0" w:space="0" w:color="auto"/>
            <w:bottom w:val="none" w:sz="0" w:space="0" w:color="auto"/>
            <w:right w:val="none" w:sz="0" w:space="0" w:color="auto"/>
          </w:divBdr>
        </w:div>
      </w:divsChild>
    </w:div>
    <w:div w:id="1038702167">
      <w:bodyDiv w:val="1"/>
      <w:marLeft w:val="0"/>
      <w:marRight w:val="0"/>
      <w:marTop w:val="0"/>
      <w:marBottom w:val="0"/>
      <w:divBdr>
        <w:top w:val="none" w:sz="0" w:space="0" w:color="auto"/>
        <w:left w:val="none" w:sz="0" w:space="0" w:color="auto"/>
        <w:bottom w:val="none" w:sz="0" w:space="0" w:color="auto"/>
        <w:right w:val="none" w:sz="0" w:space="0" w:color="auto"/>
      </w:divBdr>
    </w:div>
    <w:div w:id="149476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1FEE7-98A3-4788-B967-47E16946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914</Words>
  <Characters>5397</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Klimecká Ester, Mgr. Bc.</dc:creator>
  <cp:keywords/>
  <dc:description/>
  <cp:lastModifiedBy>Tichota Ondřej, Mgr., DiS.</cp:lastModifiedBy>
  <cp:revision>100</cp:revision>
  <cp:lastPrinted>2025-04-03T06:56:00Z</cp:lastPrinted>
  <dcterms:created xsi:type="dcterms:W3CDTF">2025-11-27T08:24:00Z</dcterms:created>
  <dcterms:modified xsi:type="dcterms:W3CDTF">2026-10-12T06:12:00Z</dcterms:modified>
</cp:coreProperties>
</file>