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DA54C" w14:textId="77777777" w:rsidR="00306720" w:rsidRPr="008E3DA9" w:rsidRDefault="00306720" w:rsidP="00306720">
      <w:pPr>
        <w:spacing w:before="240"/>
        <w:jc w:val="right"/>
        <w:rPr>
          <w:rFonts w:ascii="Arial" w:hAnsi="Arial" w:cs="Arial"/>
          <w:color w:val="2658A5"/>
          <w:sz w:val="48"/>
          <w:szCs w:val="48"/>
          <w:lang w:val="en-GB"/>
        </w:rPr>
      </w:pPr>
      <w:r w:rsidRPr="008E3DA9">
        <w:rPr>
          <w:rFonts w:ascii="Arial" w:eastAsia="Calibri" w:hAnsi="Arial" w:cs="Arial"/>
          <w:b/>
          <w:bCs/>
          <w:sz w:val="20"/>
          <w:szCs w:val="20"/>
          <w:lang w:val="en-GB"/>
        </w:rPr>
        <w:drawing>
          <wp:anchor distT="0" distB="0" distL="114300" distR="114300" simplePos="0" relativeHeight="251659264" behindDoc="0" locked="0" layoutInCell="1" allowOverlap="1" wp14:anchorId="581B2588" wp14:editId="247BB2D7">
            <wp:simplePos x="0" y="0"/>
            <wp:positionH relativeFrom="margin">
              <wp:posOffset>0</wp:posOffset>
            </wp:positionH>
            <wp:positionV relativeFrom="paragraph">
              <wp:posOffset>46990</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DA9">
        <w:rPr>
          <w:rFonts w:ascii="Arial" w:hAnsi="Arial" w:cs="Arial"/>
          <w:color w:val="2658A5"/>
          <w:sz w:val="48"/>
          <w:szCs w:val="48"/>
          <w:lang w:val="en-GB"/>
        </w:rPr>
        <w:t xml:space="preserve"> PRESS RELEASE</w:t>
      </w:r>
    </w:p>
    <w:p w14:paraId="0022BE11" w14:textId="4FE24414" w:rsidR="003E3B85" w:rsidRPr="008E3DA9" w:rsidRDefault="003E3B85" w:rsidP="003E3B85">
      <w:pPr>
        <w:jc w:val="both"/>
        <w:rPr>
          <w:rFonts w:ascii="Montserrat" w:hAnsi="Montserrat"/>
          <w:sz w:val="20"/>
          <w:szCs w:val="20"/>
          <w:lang w:val="en-GB"/>
        </w:rPr>
      </w:pPr>
    </w:p>
    <w:p w14:paraId="58520AA8" w14:textId="7F467EA3" w:rsidR="008E3DA9" w:rsidRPr="008E3DA9" w:rsidRDefault="00A0097C" w:rsidP="008E3DA9">
      <w:pPr>
        <w:spacing w:before="240"/>
        <w:jc w:val="both"/>
        <w:rPr>
          <w:rFonts w:ascii="Arial" w:hAnsi="Arial" w:cs="Arial"/>
          <w:b/>
          <w:bCs/>
          <w:color w:val="2658A5"/>
          <w:sz w:val="32"/>
          <w:szCs w:val="32"/>
          <w:lang w:val="en-GB"/>
        </w:rPr>
      </w:pPr>
      <w:r w:rsidRPr="008E3DA9">
        <w:rPr>
          <w:rFonts w:ascii="Arial" w:hAnsi="Arial" w:cs="Arial"/>
          <w:b/>
          <w:bCs/>
          <w:color w:val="2658A5"/>
          <w:sz w:val="32"/>
          <w:szCs w:val="32"/>
          <w:lang w:val="en-GB"/>
        </w:rPr>
        <w:br/>
      </w:r>
      <w:r w:rsidR="008E3DA9" w:rsidRPr="008E3DA9">
        <w:rPr>
          <w:rFonts w:ascii="Arial" w:hAnsi="Arial" w:cs="Arial"/>
          <w:b/>
          <w:bCs/>
          <w:color w:val="2658A5"/>
          <w:sz w:val="32"/>
          <w:szCs w:val="32"/>
          <w:lang w:val="en-GB"/>
        </w:rPr>
        <w:t>Within the special inspection activity ‘Alcohol, Drugs and Youth 2026’, CTIA uncovered 154 cases of the sale or serving of alcohol to minors</w:t>
      </w:r>
    </w:p>
    <w:p w14:paraId="5E6FC69E"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(Prague, 29 September 2026) </w:t>
      </w:r>
      <w:r w:rsidRPr="008E3DA9">
        <w:rPr>
          <w:rFonts w:ascii="Arial" w:eastAsia="Calibri" w:hAnsi="Arial" w:cs="Arial"/>
          <w:b/>
          <w:bCs/>
          <w:sz w:val="20"/>
          <w:szCs w:val="20"/>
          <w:lang w:val="en-GB"/>
        </w:rPr>
        <w:t>The Czech Trade Inspection Authority has assessed the results of the special inspection activity ‘Alcohol, Drugs and Young People 2026’. In cooperation with other state administration, municipal and public health authorities, primarily the Czech Police, it carried out a total of 355 inspections within three months as part of the inspection activity and identified breaches of legal regulations in 189 of these inspections. Within the inspection activity, individuals under the age of 18 were enlisted as test customers in 318 investigations. In 154 cases, alcohol was sold or served to minors.</w:t>
      </w:r>
    </w:p>
    <w:p w14:paraId="01237158"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Inspections focusing on compliance with legal regulations governing the offering, sale and serving of alcoholic beverages, tobacco products, smoking accessories, herbal products intended</w:t>
      </w:r>
      <w:r w:rsidRPr="008E3DA9">
        <w:rPr>
          <w:rFonts w:ascii="Arial" w:eastAsia="Calibri" w:hAnsi="Arial" w:cs="Arial"/>
          <w:sz w:val="20"/>
          <w:szCs w:val="20"/>
          <w:lang w:val="en-GB"/>
        </w:rPr>
        <w:br/>
        <w:t xml:space="preserve">for smoking, e-cigarettes, tobacco-free nicotine pouches and nicotine-containing products to persons under the age of 18 took place </w:t>
      </w:r>
      <w:r w:rsidRPr="008E3DA9">
        <w:rPr>
          <w:rFonts w:ascii="Arial" w:eastAsia="Calibri" w:hAnsi="Arial" w:cs="Arial"/>
          <w:b/>
          <w:bCs/>
          <w:sz w:val="20"/>
          <w:szCs w:val="20"/>
          <w:lang w:val="en-GB"/>
        </w:rPr>
        <w:t>from 15 June to 15 September 2026</w:t>
      </w:r>
      <w:r w:rsidRPr="008E3DA9">
        <w:rPr>
          <w:rFonts w:ascii="Arial" w:eastAsia="Calibri" w:hAnsi="Arial" w:cs="Arial"/>
          <w:sz w:val="20"/>
          <w:szCs w:val="20"/>
          <w:lang w:val="en-GB"/>
        </w:rPr>
        <w:t>. In total, the CTIA carried out 355 inspections. Breaches of legal regulations were identified in 189 inspections, i.e. in more than half of the premises inspected (53.24 per cent).</w:t>
      </w:r>
      <w:r w:rsidRPr="008E3DA9">
        <w:rPr>
          <w:rFonts w:ascii="Arial" w:eastAsia="Calibri" w:hAnsi="Arial" w:cs="Arial"/>
          <w:b/>
          <w:bCs/>
          <w:sz w:val="20"/>
          <w:szCs w:val="20"/>
          <w:lang w:val="en-GB"/>
        </w:rPr>
        <w:t xml:space="preserve"> The most serious finding was the sale or serving of alcoholic beverages to persons under the age of 18</w:t>
      </w:r>
      <w:r w:rsidRPr="008E3DA9">
        <w:rPr>
          <w:rFonts w:ascii="Arial" w:eastAsia="Calibri" w:hAnsi="Arial" w:cs="Arial"/>
          <w:sz w:val="20"/>
          <w:szCs w:val="20"/>
          <w:lang w:val="en-GB"/>
        </w:rPr>
        <w:t xml:space="preserve">, which was identified </w:t>
      </w:r>
      <w:r w:rsidRPr="008E3DA9">
        <w:rPr>
          <w:rFonts w:ascii="Arial" w:eastAsia="Calibri" w:hAnsi="Arial" w:cs="Arial"/>
          <w:b/>
          <w:bCs/>
          <w:sz w:val="20"/>
          <w:szCs w:val="20"/>
          <w:lang w:val="en-GB"/>
        </w:rPr>
        <w:t>in 154 cases</w:t>
      </w:r>
      <w:r w:rsidRPr="008E3DA9">
        <w:rPr>
          <w:rFonts w:ascii="Arial" w:eastAsia="Calibri" w:hAnsi="Arial" w:cs="Arial"/>
          <w:sz w:val="20"/>
          <w:szCs w:val="20"/>
          <w:lang w:val="en-GB"/>
        </w:rPr>
        <w:t xml:space="preserve"> during the period under review.</w:t>
      </w:r>
    </w:p>
    <w:p w14:paraId="47BFFD8F"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b/>
          <w:bCs/>
          <w:sz w:val="20"/>
          <w:szCs w:val="20"/>
          <w:lang w:val="en-GB"/>
        </w:rPr>
        <w:t>Act No. 65/2017 Coll., on Health Protection against the Harmful Effects of Drugs, was breached in 200 cases, specifically:</w:t>
      </w:r>
    </w:p>
    <w:p w14:paraId="2B6F2075"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 </w:t>
      </w:r>
      <w:proofErr w:type="gramStart"/>
      <w:r w:rsidRPr="008E3DA9">
        <w:rPr>
          <w:rFonts w:ascii="Arial" w:eastAsia="Calibri" w:hAnsi="Arial" w:cs="Arial"/>
          <w:b/>
          <w:bCs/>
          <w:sz w:val="20"/>
          <w:szCs w:val="20"/>
          <w:lang w:val="en-GB"/>
        </w:rPr>
        <w:t>in</w:t>
      </w:r>
      <w:proofErr w:type="gramEnd"/>
      <w:r w:rsidRPr="008E3DA9">
        <w:rPr>
          <w:rFonts w:ascii="Arial" w:eastAsia="Calibri" w:hAnsi="Arial" w:cs="Arial"/>
          <w:b/>
          <w:bCs/>
          <w:sz w:val="20"/>
          <w:szCs w:val="20"/>
          <w:lang w:val="en-GB"/>
        </w:rPr>
        <w:t xml:space="preserve"> 154 cases, there was a breach of the prohibition on selling or serving alcoholic beverages to persons under the age of 18 </w:t>
      </w:r>
      <w:r w:rsidRPr="008E3DA9">
        <w:rPr>
          <w:rFonts w:ascii="Arial" w:eastAsia="Calibri" w:hAnsi="Arial" w:cs="Arial"/>
          <w:sz w:val="20"/>
          <w:szCs w:val="20"/>
          <w:lang w:val="en-GB"/>
        </w:rPr>
        <w:t>(Section 11(5)),</w:t>
      </w:r>
    </w:p>
    <w:p w14:paraId="613CEEB6"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 in 23 cases, a breach of Section 3(4) was identified, whereby </w:t>
      </w:r>
      <w:r w:rsidRPr="008E3DA9">
        <w:rPr>
          <w:rFonts w:ascii="Arial" w:eastAsia="Calibri" w:hAnsi="Arial" w:cs="Arial"/>
          <w:b/>
          <w:bCs/>
          <w:sz w:val="20"/>
          <w:szCs w:val="20"/>
          <w:lang w:val="en-GB"/>
        </w:rPr>
        <w:t>in 20 cases, sellers breached the prohibition on selling or serving tobacco products, herbal products intended for smoking, electronic cigarettes, tobacco-free nicotine pouches and nicotine-containing products to persons under the age of 18</w:t>
      </w:r>
      <w:r w:rsidRPr="008E3DA9">
        <w:rPr>
          <w:rFonts w:ascii="Arial" w:eastAsia="Calibri" w:hAnsi="Arial" w:cs="Arial"/>
          <w:sz w:val="20"/>
          <w:szCs w:val="20"/>
          <w:lang w:val="en-GB"/>
        </w:rPr>
        <w:t>, whilst in 3 cases sellers breached the prohibition on selling smoking accessories to persons under the age of 18,</w:t>
      </w:r>
    </w:p>
    <w:p w14:paraId="799E9D85"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in 7 cases, sellers of alcoholic beverages failed to display, at the points of sale, a clearly visible notice prohibiting the sale of alcoholic beverages to persons under the age of 18; or, where such a notice was displayed, it did not comply with the statutory requirements, i.e. it was not in Czech; in black block letters on a white background with a font size of at least 2 cm (Section 13(1)),</w:t>
      </w:r>
    </w:p>
    <w:p w14:paraId="550DFC9D"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in 7 cases, sellers of tobacco products, smoking accessories, herbal products intended for smoking, e-cigarettes, tobacco-free nicotine pouches and nicotine-containing products failed to display, at their points of sale, a clearly visible notice for consumers stating that the sale of these goods to persons under the age of 18 is prohibited; or, where applicable, this text was not presented in the form prescribed by law, i.e. in the Czech language, in black block letters on a white background with a font size of at least 2 cm (Section 5(2)),</w:t>
      </w:r>
    </w:p>
    <w:p w14:paraId="14A0F246"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 </w:t>
      </w:r>
      <w:proofErr w:type="gramStart"/>
      <w:r w:rsidRPr="008E3DA9">
        <w:rPr>
          <w:rFonts w:ascii="Arial" w:eastAsia="Calibri" w:hAnsi="Arial" w:cs="Arial"/>
          <w:b/>
          <w:bCs/>
          <w:sz w:val="20"/>
          <w:szCs w:val="20"/>
          <w:lang w:val="en-GB"/>
        </w:rPr>
        <w:t>in</w:t>
      </w:r>
      <w:proofErr w:type="gramEnd"/>
      <w:r w:rsidRPr="008E3DA9">
        <w:rPr>
          <w:rFonts w:ascii="Arial" w:eastAsia="Calibri" w:hAnsi="Arial" w:cs="Arial"/>
          <w:b/>
          <w:bCs/>
          <w:sz w:val="20"/>
          <w:szCs w:val="20"/>
          <w:lang w:val="en-GB"/>
        </w:rPr>
        <w:t xml:space="preserve"> 4 cases, persons selling or serving alcoholic beverages did not themselves meet the mandatory minimum age limit of 18 years (Section 13(2)),</w:t>
      </w:r>
    </w:p>
    <w:p w14:paraId="7D7B15BB"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 </w:t>
      </w:r>
      <w:proofErr w:type="gramStart"/>
      <w:r w:rsidRPr="008E3DA9">
        <w:rPr>
          <w:rFonts w:ascii="Arial" w:eastAsia="Calibri" w:hAnsi="Arial" w:cs="Arial"/>
          <w:sz w:val="20"/>
          <w:szCs w:val="20"/>
          <w:lang w:val="en-GB"/>
        </w:rPr>
        <w:t>in</w:t>
      </w:r>
      <w:proofErr w:type="gramEnd"/>
      <w:r w:rsidRPr="008E3DA9">
        <w:rPr>
          <w:rFonts w:ascii="Arial" w:eastAsia="Calibri" w:hAnsi="Arial" w:cs="Arial"/>
          <w:sz w:val="20"/>
          <w:szCs w:val="20"/>
          <w:lang w:val="en-GB"/>
        </w:rPr>
        <w:t xml:space="preserve"> 3 cases, a breach of Section 5(1) was found, where the seller did not display tobacco products, smoking accessories, herbal products intended for smoking, e-cigarettes, tobacco-free nicotine </w:t>
      </w:r>
      <w:r w:rsidRPr="008E3DA9">
        <w:rPr>
          <w:rFonts w:ascii="Arial" w:eastAsia="Calibri" w:hAnsi="Arial" w:cs="Arial"/>
          <w:sz w:val="20"/>
          <w:szCs w:val="20"/>
          <w:lang w:val="en-GB"/>
        </w:rPr>
        <w:lastRenderedPageBreak/>
        <w:t>pouches or nicotine-containing products in a designated area separate from the rest of the goods on offer,</w:t>
      </w:r>
    </w:p>
    <w:p w14:paraId="75FDB0E0"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In one case, a breach of Section 3(3) was identified, where the retailer contravened the prohibition on selling tobacco products, smoking accessories, herbal products intended for smoking, electronic cigarettes, tobacco-free nicotine pouches and nicotine-containing products via a vending machine, where the sale to persons under the age of 18 cannot be prevented, and in one case, a breach of Section 5(3) was identified, where the retailer failed to ensure that the person selling tobacco products, smoking accessories, herbal products intended for smoking, electronic cigarettes, tobacco-free nicotine pouches or nicotine-containing products was over 18 years of age.</w:t>
      </w:r>
    </w:p>
    <w:p w14:paraId="20776AA7"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A breach of </w:t>
      </w:r>
      <w:r w:rsidRPr="008E3DA9">
        <w:rPr>
          <w:rFonts w:ascii="Arial" w:eastAsia="Calibri" w:hAnsi="Arial" w:cs="Arial"/>
          <w:b/>
          <w:bCs/>
          <w:sz w:val="20"/>
          <w:szCs w:val="20"/>
          <w:lang w:val="en-GB"/>
        </w:rPr>
        <w:t>Act No. 353/2003 Coll., on Excise Duties,</w:t>
      </w:r>
      <w:r w:rsidRPr="008E3DA9">
        <w:rPr>
          <w:rFonts w:ascii="Arial" w:eastAsia="Calibri" w:hAnsi="Arial" w:cs="Arial"/>
          <w:sz w:val="20"/>
          <w:szCs w:val="20"/>
          <w:lang w:val="en-GB"/>
        </w:rPr>
        <w:t xml:space="preserve"> was identified in one case. Specifically, it was a breach of Section 107(4), where the retailer failed to comply with the obligation to sell tobacco products only in sealed individual packets with an intact tobacco label (excluding cigars and cigarillos).</w:t>
      </w:r>
    </w:p>
    <w:p w14:paraId="20434417"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b/>
          <w:bCs/>
          <w:sz w:val="20"/>
          <w:szCs w:val="20"/>
          <w:lang w:val="en-GB"/>
        </w:rPr>
        <w:t>A breach</w:t>
      </w:r>
      <w:r w:rsidRPr="008E3DA9">
        <w:rPr>
          <w:rFonts w:ascii="Arial" w:eastAsia="Calibri" w:hAnsi="Arial" w:cs="Arial"/>
          <w:sz w:val="20"/>
          <w:szCs w:val="20"/>
          <w:lang w:val="en-GB"/>
        </w:rPr>
        <w:t xml:space="preserve"> of one of the provisions of </w:t>
      </w:r>
      <w:r w:rsidRPr="008E3DA9">
        <w:rPr>
          <w:rFonts w:ascii="Arial" w:eastAsia="Calibri" w:hAnsi="Arial" w:cs="Arial"/>
          <w:b/>
          <w:bCs/>
          <w:sz w:val="20"/>
          <w:szCs w:val="20"/>
          <w:lang w:val="en-GB"/>
        </w:rPr>
        <w:t>Act No. 634/1992 Coll., on Consumer Protection</w:t>
      </w:r>
      <w:r w:rsidRPr="008E3DA9">
        <w:rPr>
          <w:rFonts w:ascii="Arial" w:eastAsia="Calibri" w:hAnsi="Arial" w:cs="Arial"/>
          <w:sz w:val="20"/>
          <w:szCs w:val="20"/>
          <w:lang w:val="en-GB"/>
        </w:rPr>
        <w:t xml:space="preserve"> was established in a total of </w:t>
      </w:r>
      <w:r w:rsidRPr="008E3DA9">
        <w:rPr>
          <w:rFonts w:ascii="Arial" w:eastAsia="Calibri" w:hAnsi="Arial" w:cs="Arial"/>
          <w:b/>
          <w:bCs/>
          <w:sz w:val="20"/>
          <w:szCs w:val="20"/>
          <w:lang w:val="en-GB"/>
        </w:rPr>
        <w:t>35 cases</w:t>
      </w:r>
      <w:r w:rsidRPr="008E3DA9">
        <w:rPr>
          <w:rFonts w:ascii="Arial" w:eastAsia="Calibri" w:hAnsi="Arial" w:cs="Arial"/>
          <w:sz w:val="20"/>
          <w:szCs w:val="20"/>
          <w:lang w:val="en-GB"/>
        </w:rPr>
        <w:t>. Of these, the most frequent breach, occurring in 15 cases, was a violation of the principles of fair trading (Section 3 of this Act). A smaller number of other breaches were identified.</w:t>
      </w:r>
    </w:p>
    <w:p w14:paraId="4F97DB67"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Within this inspection activity, </w:t>
      </w:r>
      <w:proofErr w:type="gramStart"/>
      <w:r w:rsidRPr="008E3DA9">
        <w:rPr>
          <w:rFonts w:ascii="Arial" w:eastAsia="Calibri" w:hAnsi="Arial" w:cs="Arial"/>
          <w:sz w:val="20"/>
          <w:szCs w:val="20"/>
          <w:lang w:val="en-GB"/>
        </w:rPr>
        <w:t>the majority of</w:t>
      </w:r>
      <w:proofErr w:type="gramEnd"/>
      <w:r w:rsidRPr="008E3DA9">
        <w:rPr>
          <w:rFonts w:ascii="Arial" w:eastAsia="Calibri" w:hAnsi="Arial" w:cs="Arial"/>
          <w:sz w:val="20"/>
          <w:szCs w:val="20"/>
          <w:lang w:val="en-GB"/>
        </w:rPr>
        <w:t xml:space="preserve"> inspections were carried out with the participation of other state administration bodies, municipal authorities and market surveillance bodies. The main coordinator of the inspection activity was the Police of the Czech Republic, with whose participation 313 inspections were carried out; a further 88 inspections were carried out in cooperation with the Customs Administration of the Czech Republic,</w:t>
      </w:r>
      <w:r w:rsidRPr="008E3DA9">
        <w:rPr>
          <w:rFonts w:ascii="Arial" w:eastAsia="Calibri" w:hAnsi="Arial" w:cs="Arial"/>
          <w:sz w:val="20"/>
          <w:szCs w:val="20"/>
          <w:lang w:val="en-GB"/>
        </w:rPr>
        <w:br/>
        <w:t>57 inspections were carried out with the participation of regional public health authorities, 5 with the participation of the Fire and Rescue Service of the Czech Republic, a further 5 with the participation of the trade licensing office, 3 with the participation of the Criminal Police and Investigation Service, and 1 with the participation of the State Agricultural and Food Inspection Authority.</w:t>
      </w:r>
      <w:r w:rsidRPr="008E3DA9">
        <w:rPr>
          <w:rFonts w:ascii="Arial" w:eastAsia="Calibri" w:hAnsi="Arial" w:cs="Arial"/>
          <w:sz w:val="20"/>
          <w:szCs w:val="20"/>
          <w:lang w:val="en-GB"/>
        </w:rPr>
        <w:br/>
        <w:t>In some inspections, several supervisory authorities cooperated simultaneously.</w:t>
      </w:r>
    </w:p>
    <w:p w14:paraId="0FC8EF57"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sz w:val="20"/>
          <w:szCs w:val="20"/>
          <w:lang w:val="en-GB"/>
        </w:rPr>
        <w:t xml:space="preserve">Based on the identified breaches of legal regulations within the CTIA’s surveillance scope, </w:t>
      </w:r>
      <w:r w:rsidRPr="008E3DA9">
        <w:rPr>
          <w:rFonts w:ascii="Arial" w:eastAsia="Calibri" w:hAnsi="Arial" w:cs="Arial"/>
          <w:b/>
          <w:bCs/>
          <w:sz w:val="20"/>
          <w:szCs w:val="20"/>
          <w:lang w:val="en-GB"/>
        </w:rPr>
        <w:t>14 fines</w:t>
      </w:r>
      <w:r w:rsidRPr="008E3DA9">
        <w:rPr>
          <w:rFonts w:ascii="Arial" w:eastAsia="Calibri" w:hAnsi="Arial" w:cs="Arial"/>
          <w:sz w:val="20"/>
          <w:szCs w:val="20"/>
          <w:lang w:val="en-GB"/>
        </w:rPr>
        <w:t xml:space="preserve"> </w:t>
      </w:r>
      <w:r w:rsidRPr="008E3DA9">
        <w:rPr>
          <w:rFonts w:ascii="Arial" w:eastAsia="Calibri" w:hAnsi="Arial" w:cs="Arial"/>
          <w:b/>
          <w:bCs/>
          <w:sz w:val="20"/>
          <w:szCs w:val="20"/>
          <w:lang w:val="en-GB"/>
        </w:rPr>
        <w:t>totalling 258,000 CZK</w:t>
      </w:r>
      <w:r w:rsidRPr="008E3DA9">
        <w:rPr>
          <w:rFonts w:ascii="Arial" w:eastAsia="Calibri" w:hAnsi="Arial" w:cs="Arial"/>
          <w:sz w:val="20"/>
          <w:szCs w:val="20"/>
          <w:lang w:val="en-GB"/>
        </w:rPr>
        <w:t xml:space="preserve"> became legally binding during the inspection activity.</w:t>
      </w:r>
    </w:p>
    <w:p w14:paraId="2A9285D1" w14:textId="77777777" w:rsidR="008E3DA9" w:rsidRPr="008E3DA9" w:rsidRDefault="008E3DA9" w:rsidP="008E3DA9">
      <w:pPr>
        <w:spacing w:before="120" w:after="120"/>
        <w:rPr>
          <w:rFonts w:ascii="Arial" w:eastAsia="Calibri" w:hAnsi="Arial" w:cs="Arial"/>
          <w:sz w:val="20"/>
          <w:szCs w:val="20"/>
          <w:lang w:val="en-GB"/>
        </w:rPr>
      </w:pPr>
      <w:r w:rsidRPr="008E3DA9">
        <w:rPr>
          <w:rFonts w:ascii="Arial" w:eastAsia="Calibri" w:hAnsi="Arial" w:cs="Arial"/>
          <w:b/>
          <w:bCs/>
          <w:sz w:val="20"/>
          <w:szCs w:val="20"/>
          <w:lang w:val="en-GB"/>
        </w:rPr>
        <w:t>Further identified breaches will be dealt with within subsequent administrative proceedings.</w:t>
      </w:r>
      <w:r w:rsidRPr="008E3DA9">
        <w:rPr>
          <w:rFonts w:ascii="Arial" w:eastAsia="Calibri" w:hAnsi="Arial" w:cs="Arial"/>
          <w:sz w:val="20"/>
          <w:szCs w:val="20"/>
          <w:lang w:val="en-GB"/>
        </w:rPr>
        <w:t xml:space="preserve"> The special inspection activity </w:t>
      </w:r>
      <w:r w:rsidRPr="008E3DA9">
        <w:rPr>
          <w:rFonts w:ascii="Arial" w:eastAsia="Calibri" w:hAnsi="Arial" w:cs="Arial"/>
          <w:b/>
          <w:bCs/>
          <w:sz w:val="20"/>
          <w:szCs w:val="20"/>
          <w:lang w:val="en-GB"/>
        </w:rPr>
        <w:t>‘Alcohol, Drugs and Young People 2026’</w:t>
      </w:r>
      <w:r w:rsidRPr="008E3DA9">
        <w:rPr>
          <w:rFonts w:ascii="Arial" w:eastAsia="Calibri" w:hAnsi="Arial" w:cs="Arial"/>
          <w:sz w:val="20"/>
          <w:szCs w:val="20"/>
          <w:lang w:val="en-GB"/>
        </w:rPr>
        <w:t xml:space="preserve"> </w:t>
      </w:r>
      <w:r w:rsidRPr="008E3DA9">
        <w:rPr>
          <w:rFonts w:ascii="Arial" w:eastAsia="Calibri" w:hAnsi="Arial" w:cs="Arial"/>
          <w:b/>
          <w:bCs/>
          <w:sz w:val="20"/>
          <w:szCs w:val="20"/>
          <w:lang w:val="en-GB"/>
        </w:rPr>
        <w:t>demonstrated that alcoholic beverages, and in some cases other addictive substances, remain readily available to persons under the age of 18 within the domestic retail network</w:t>
      </w:r>
      <w:r w:rsidRPr="008E3DA9">
        <w:rPr>
          <w:rFonts w:ascii="Arial" w:eastAsia="Calibri" w:hAnsi="Arial" w:cs="Arial"/>
          <w:sz w:val="20"/>
          <w:szCs w:val="20"/>
          <w:lang w:val="en-GB"/>
        </w:rPr>
        <w:t>. The prevention of harm and the protection of young people’s health are matters of public interest, and the Czech Trade Inspection Authority will continue to actively develop its inspection activities in this area.</w:t>
      </w:r>
    </w:p>
    <w:p w14:paraId="248C952F" w14:textId="77777777" w:rsidR="005B30C0" w:rsidRPr="008E3DA9" w:rsidRDefault="005B30C0" w:rsidP="005B30C0">
      <w:pPr>
        <w:spacing w:before="120" w:after="120"/>
        <w:rPr>
          <w:rFonts w:ascii="Calibri" w:hAnsi="Calibri" w:cs="Calibri"/>
          <w:lang w:val="en-GB"/>
        </w:rPr>
      </w:pPr>
    </w:p>
    <w:p w14:paraId="7E828451" w14:textId="40B7EB4E" w:rsidR="005B30C0" w:rsidRPr="008E3DA9" w:rsidRDefault="005B30C0" w:rsidP="00E00F5C">
      <w:pPr>
        <w:spacing w:line="240" w:lineRule="auto"/>
        <w:jc w:val="both"/>
        <w:rPr>
          <w:rFonts w:ascii="Arial" w:eastAsia="Times New Roman" w:hAnsi="Arial" w:cs="Arial"/>
          <w:sz w:val="20"/>
          <w:szCs w:val="20"/>
          <w:lang w:val="en-GB" w:eastAsia="cs-CZ"/>
        </w:rPr>
      </w:pPr>
    </w:p>
    <w:sectPr w:rsidR="005B30C0" w:rsidRPr="008E3DA9"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AABFA" w14:textId="77777777" w:rsidR="00563908" w:rsidRDefault="00563908" w:rsidP="00807D68">
      <w:pPr>
        <w:spacing w:after="0" w:line="240" w:lineRule="auto"/>
      </w:pPr>
      <w:r>
        <w:separator/>
      </w:r>
    </w:p>
  </w:endnote>
  <w:endnote w:type="continuationSeparator" w:id="0">
    <w:p w14:paraId="7C7EDB8E" w14:textId="77777777" w:rsidR="00563908" w:rsidRDefault="00563908"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6452" w14:textId="77777777" w:rsidR="0090197A" w:rsidRPr="000B3C18" w:rsidRDefault="0090197A" w:rsidP="0090197A">
    <w:pPr>
      <w:tabs>
        <w:tab w:val="left" w:pos="8295"/>
      </w:tabs>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4FA15259" wp14:editId="7AE10BC7">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1FABF161" w14:textId="77777777" w:rsidR="0090197A" w:rsidRPr="007F2BC4" w:rsidRDefault="0090197A" w:rsidP="0090197A">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4FA15259"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1FABF161" w14:textId="77777777" w:rsidR="0090197A" w:rsidRPr="007F2BC4" w:rsidRDefault="0090197A" w:rsidP="0090197A">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268DBD44" wp14:editId="26A2A9CE">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2257C90B" w14:textId="77777777" w:rsidR="0090197A" w:rsidRPr="00DC6D14" w:rsidRDefault="0090197A" w:rsidP="0090197A">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268DBD44"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2257C90B" w14:textId="77777777" w:rsidR="0090197A" w:rsidRPr="00DC6D14" w:rsidRDefault="0090197A" w:rsidP="0090197A">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r>
      <w:rPr>
        <w:rFonts w:ascii="Arial" w:hAnsi="Arial" w:cs="Arial"/>
        <w:bCs/>
        <w:color w:val="2658A5"/>
        <w:sz w:val="18"/>
        <w:szCs w:val="18"/>
      </w:rPr>
      <w:tab/>
    </w:r>
  </w:p>
  <w:p w14:paraId="2E86EAD4" w14:textId="51521CCB" w:rsidR="00F34A6A" w:rsidRPr="0090197A" w:rsidRDefault="0090197A" w:rsidP="0090197A">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057A6" w14:textId="77777777" w:rsidR="00563908" w:rsidRDefault="00563908" w:rsidP="00807D68">
      <w:pPr>
        <w:spacing w:after="0" w:line="240" w:lineRule="auto"/>
      </w:pPr>
      <w:r>
        <w:separator/>
      </w:r>
    </w:p>
  </w:footnote>
  <w:footnote w:type="continuationSeparator" w:id="0">
    <w:p w14:paraId="5D8B6668" w14:textId="77777777" w:rsidR="00563908" w:rsidRDefault="00563908"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7C75"/>
    <w:multiLevelType w:val="hybridMultilevel"/>
    <w:tmpl w:val="F034B6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D372A1"/>
    <w:multiLevelType w:val="hybridMultilevel"/>
    <w:tmpl w:val="F790DA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C6535B"/>
    <w:multiLevelType w:val="hybridMultilevel"/>
    <w:tmpl w:val="77067FCE"/>
    <w:lvl w:ilvl="0" w:tplc="A2E47128">
      <w:start w:val="13"/>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0041CC2"/>
    <w:multiLevelType w:val="hybridMultilevel"/>
    <w:tmpl w:val="9ABC86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6"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0840E4D"/>
    <w:multiLevelType w:val="hybridMultilevel"/>
    <w:tmpl w:val="AD40E32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9"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0" w15:restartNumberingAfterBreak="0">
    <w:nsid w:val="3B090573"/>
    <w:multiLevelType w:val="hybridMultilevel"/>
    <w:tmpl w:val="2CF4015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12" w15:restartNumberingAfterBreak="0">
    <w:nsid w:val="3F5F551B"/>
    <w:multiLevelType w:val="hybridMultilevel"/>
    <w:tmpl w:val="861C71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4" w15:restartNumberingAfterBreak="0">
    <w:nsid w:val="58E46094"/>
    <w:multiLevelType w:val="hybridMultilevel"/>
    <w:tmpl w:val="0666F1F8"/>
    <w:lvl w:ilvl="0" w:tplc="04050001">
      <w:start w:val="1"/>
      <w:numFmt w:val="bullet"/>
      <w:lvlText w:val=""/>
      <w:lvlJc w:val="left"/>
      <w:pPr>
        <w:ind w:left="721" w:hanging="360"/>
      </w:pPr>
      <w:rPr>
        <w:rFonts w:ascii="Symbol" w:hAnsi="Symbol" w:hint="default"/>
      </w:rPr>
    </w:lvl>
    <w:lvl w:ilvl="1" w:tplc="04050003">
      <w:start w:val="1"/>
      <w:numFmt w:val="bullet"/>
      <w:lvlText w:val="o"/>
      <w:lvlJc w:val="left"/>
      <w:pPr>
        <w:ind w:left="1441" w:hanging="360"/>
      </w:pPr>
      <w:rPr>
        <w:rFonts w:ascii="Courier New" w:hAnsi="Courier New" w:cs="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cs="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cs="Courier New" w:hint="default"/>
      </w:rPr>
    </w:lvl>
    <w:lvl w:ilvl="8" w:tplc="04050005">
      <w:start w:val="1"/>
      <w:numFmt w:val="bullet"/>
      <w:lvlText w:val=""/>
      <w:lvlJc w:val="left"/>
      <w:pPr>
        <w:ind w:left="6481" w:hanging="360"/>
      </w:pPr>
      <w:rPr>
        <w:rFonts w:ascii="Wingdings" w:hAnsi="Wingdings" w:hint="default"/>
      </w:rPr>
    </w:lvl>
  </w:abstractNum>
  <w:abstractNum w:abstractNumId="15" w15:restartNumberingAfterBreak="0">
    <w:nsid w:val="598E60E8"/>
    <w:multiLevelType w:val="hybridMultilevel"/>
    <w:tmpl w:val="730299F2"/>
    <w:lvl w:ilvl="0" w:tplc="43546ABE">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A004778"/>
    <w:multiLevelType w:val="hybridMultilevel"/>
    <w:tmpl w:val="F41A5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9"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43924744">
    <w:abstractNumId w:val="3"/>
  </w:num>
  <w:num w:numId="2" w16cid:durableId="394819193">
    <w:abstractNumId w:val="16"/>
  </w:num>
  <w:num w:numId="3" w16cid:durableId="948584341">
    <w:abstractNumId w:val="8"/>
  </w:num>
  <w:num w:numId="4" w16cid:durableId="84889542">
    <w:abstractNumId w:val="18"/>
  </w:num>
  <w:num w:numId="5" w16cid:durableId="2089693868">
    <w:abstractNumId w:val="19"/>
  </w:num>
  <w:num w:numId="6" w16cid:durableId="635720975">
    <w:abstractNumId w:val="11"/>
  </w:num>
  <w:num w:numId="7" w16cid:durableId="485630058">
    <w:abstractNumId w:val="9"/>
  </w:num>
  <w:num w:numId="8" w16cid:durableId="1412462182">
    <w:abstractNumId w:val="5"/>
  </w:num>
  <w:num w:numId="9" w16cid:durableId="1139610338">
    <w:abstractNumId w:val="13"/>
  </w:num>
  <w:num w:numId="10" w16cid:durableId="334845662">
    <w:abstractNumId w:val="6"/>
  </w:num>
  <w:num w:numId="11" w16cid:durableId="147986789">
    <w:abstractNumId w:val="14"/>
  </w:num>
  <w:num w:numId="12" w16cid:durableId="1992249531">
    <w:abstractNumId w:val="17"/>
  </w:num>
  <w:num w:numId="13" w16cid:durableId="1851606758">
    <w:abstractNumId w:val="1"/>
  </w:num>
  <w:num w:numId="14" w16cid:durableId="1917785443">
    <w:abstractNumId w:val="0"/>
  </w:num>
  <w:num w:numId="15" w16cid:durableId="1558936528">
    <w:abstractNumId w:val="4"/>
  </w:num>
  <w:num w:numId="16" w16cid:durableId="1620457247">
    <w:abstractNumId w:val="2"/>
  </w:num>
  <w:num w:numId="17" w16cid:durableId="1134979543">
    <w:abstractNumId w:val="12"/>
  </w:num>
  <w:num w:numId="18" w16cid:durableId="548033212">
    <w:abstractNumId w:val="15"/>
  </w:num>
  <w:num w:numId="19" w16cid:durableId="1080325581">
    <w:abstractNumId w:val="10"/>
  </w:num>
  <w:num w:numId="20" w16cid:durableId="1625961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17F4"/>
    <w:rsid w:val="000051CA"/>
    <w:rsid w:val="00007B29"/>
    <w:rsid w:val="000330D4"/>
    <w:rsid w:val="000344FB"/>
    <w:rsid w:val="0004202F"/>
    <w:rsid w:val="00056E6A"/>
    <w:rsid w:val="000645A6"/>
    <w:rsid w:val="000714C6"/>
    <w:rsid w:val="00073256"/>
    <w:rsid w:val="000741E3"/>
    <w:rsid w:val="00075022"/>
    <w:rsid w:val="00080F87"/>
    <w:rsid w:val="000A1387"/>
    <w:rsid w:val="000A19E7"/>
    <w:rsid w:val="000B009F"/>
    <w:rsid w:val="000B22C8"/>
    <w:rsid w:val="000B3C18"/>
    <w:rsid w:val="000B3ECB"/>
    <w:rsid w:val="000D5F47"/>
    <w:rsid w:val="000E0913"/>
    <w:rsid w:val="000E2746"/>
    <w:rsid w:val="000E28FA"/>
    <w:rsid w:val="000E2C64"/>
    <w:rsid w:val="000F3D0F"/>
    <w:rsid w:val="000F4860"/>
    <w:rsid w:val="000F623E"/>
    <w:rsid w:val="00106D35"/>
    <w:rsid w:val="0010721B"/>
    <w:rsid w:val="00113B14"/>
    <w:rsid w:val="00116EC5"/>
    <w:rsid w:val="001217E6"/>
    <w:rsid w:val="0013684F"/>
    <w:rsid w:val="00142850"/>
    <w:rsid w:val="00143E7B"/>
    <w:rsid w:val="001472E1"/>
    <w:rsid w:val="00152827"/>
    <w:rsid w:val="00164366"/>
    <w:rsid w:val="00167F18"/>
    <w:rsid w:val="00171AD0"/>
    <w:rsid w:val="001725B9"/>
    <w:rsid w:val="00192BDE"/>
    <w:rsid w:val="001A15FF"/>
    <w:rsid w:val="001A5542"/>
    <w:rsid w:val="001B1153"/>
    <w:rsid w:val="001B5E41"/>
    <w:rsid w:val="001C38DE"/>
    <w:rsid w:val="001D0E07"/>
    <w:rsid w:val="001D158E"/>
    <w:rsid w:val="001D5235"/>
    <w:rsid w:val="002012CC"/>
    <w:rsid w:val="00225F02"/>
    <w:rsid w:val="002276B5"/>
    <w:rsid w:val="00230EA8"/>
    <w:rsid w:val="00237C6E"/>
    <w:rsid w:val="00242924"/>
    <w:rsid w:val="00267A38"/>
    <w:rsid w:val="00270EA0"/>
    <w:rsid w:val="0027134B"/>
    <w:rsid w:val="002726E7"/>
    <w:rsid w:val="002747E8"/>
    <w:rsid w:val="00274F82"/>
    <w:rsid w:val="00282614"/>
    <w:rsid w:val="00283960"/>
    <w:rsid w:val="00286116"/>
    <w:rsid w:val="002867EE"/>
    <w:rsid w:val="00287627"/>
    <w:rsid w:val="00295322"/>
    <w:rsid w:val="002A4446"/>
    <w:rsid w:val="002B02E9"/>
    <w:rsid w:val="002B7BF0"/>
    <w:rsid w:val="002B7C92"/>
    <w:rsid w:val="002C050A"/>
    <w:rsid w:val="002C2749"/>
    <w:rsid w:val="002D3242"/>
    <w:rsid w:val="002D51F8"/>
    <w:rsid w:val="002E00F5"/>
    <w:rsid w:val="002E588A"/>
    <w:rsid w:val="002E7E4D"/>
    <w:rsid w:val="0030473A"/>
    <w:rsid w:val="00306720"/>
    <w:rsid w:val="003131FA"/>
    <w:rsid w:val="0031467D"/>
    <w:rsid w:val="00317C1F"/>
    <w:rsid w:val="00323DB7"/>
    <w:rsid w:val="00334128"/>
    <w:rsid w:val="0034714F"/>
    <w:rsid w:val="00350179"/>
    <w:rsid w:val="003522F9"/>
    <w:rsid w:val="00361789"/>
    <w:rsid w:val="00361D72"/>
    <w:rsid w:val="00363379"/>
    <w:rsid w:val="0037728A"/>
    <w:rsid w:val="0038039C"/>
    <w:rsid w:val="00381AC3"/>
    <w:rsid w:val="003B4325"/>
    <w:rsid w:val="003C29C0"/>
    <w:rsid w:val="003D723B"/>
    <w:rsid w:val="003E1F02"/>
    <w:rsid w:val="003E3B85"/>
    <w:rsid w:val="003F2528"/>
    <w:rsid w:val="003F38A9"/>
    <w:rsid w:val="0040156D"/>
    <w:rsid w:val="00407C36"/>
    <w:rsid w:val="00410D91"/>
    <w:rsid w:val="0041440B"/>
    <w:rsid w:val="00432A70"/>
    <w:rsid w:val="004330F3"/>
    <w:rsid w:val="00433B67"/>
    <w:rsid w:val="0043419B"/>
    <w:rsid w:val="00435BEC"/>
    <w:rsid w:val="00436087"/>
    <w:rsid w:val="004405F4"/>
    <w:rsid w:val="00446EEA"/>
    <w:rsid w:val="0046373B"/>
    <w:rsid w:val="00477F73"/>
    <w:rsid w:val="00485111"/>
    <w:rsid w:val="00493D8C"/>
    <w:rsid w:val="00494ACB"/>
    <w:rsid w:val="0049637D"/>
    <w:rsid w:val="004A4EDB"/>
    <w:rsid w:val="004A73FE"/>
    <w:rsid w:val="004A7B5C"/>
    <w:rsid w:val="004D5C8C"/>
    <w:rsid w:val="004E28F6"/>
    <w:rsid w:val="004F3AA9"/>
    <w:rsid w:val="00503247"/>
    <w:rsid w:val="00503319"/>
    <w:rsid w:val="00506781"/>
    <w:rsid w:val="00511A5D"/>
    <w:rsid w:val="00512B26"/>
    <w:rsid w:val="00521123"/>
    <w:rsid w:val="00526090"/>
    <w:rsid w:val="00540F6C"/>
    <w:rsid w:val="00541192"/>
    <w:rsid w:val="0054244E"/>
    <w:rsid w:val="005545CE"/>
    <w:rsid w:val="0056163E"/>
    <w:rsid w:val="00562909"/>
    <w:rsid w:val="00563908"/>
    <w:rsid w:val="005702A5"/>
    <w:rsid w:val="00572CFD"/>
    <w:rsid w:val="0057550B"/>
    <w:rsid w:val="00577B57"/>
    <w:rsid w:val="005837B9"/>
    <w:rsid w:val="005923C5"/>
    <w:rsid w:val="00592C1D"/>
    <w:rsid w:val="0059503F"/>
    <w:rsid w:val="005A0FA4"/>
    <w:rsid w:val="005A3A49"/>
    <w:rsid w:val="005B247E"/>
    <w:rsid w:val="005B2A55"/>
    <w:rsid w:val="005B30C0"/>
    <w:rsid w:val="005B4F3F"/>
    <w:rsid w:val="005C435F"/>
    <w:rsid w:val="005D105B"/>
    <w:rsid w:val="005D38FD"/>
    <w:rsid w:val="005E159D"/>
    <w:rsid w:val="005E3D23"/>
    <w:rsid w:val="005F6398"/>
    <w:rsid w:val="005F6D9C"/>
    <w:rsid w:val="005F776A"/>
    <w:rsid w:val="005F7F53"/>
    <w:rsid w:val="0060731F"/>
    <w:rsid w:val="0061127C"/>
    <w:rsid w:val="00647334"/>
    <w:rsid w:val="00653A86"/>
    <w:rsid w:val="00656822"/>
    <w:rsid w:val="00663C7B"/>
    <w:rsid w:val="00672289"/>
    <w:rsid w:val="00674A42"/>
    <w:rsid w:val="00681DA5"/>
    <w:rsid w:val="006976CC"/>
    <w:rsid w:val="006A41C3"/>
    <w:rsid w:val="006A48BD"/>
    <w:rsid w:val="006B606D"/>
    <w:rsid w:val="006B7269"/>
    <w:rsid w:val="006C77CE"/>
    <w:rsid w:val="006C7FE6"/>
    <w:rsid w:val="006D0837"/>
    <w:rsid w:val="006D309F"/>
    <w:rsid w:val="006D357C"/>
    <w:rsid w:val="006D428D"/>
    <w:rsid w:val="006E3BFD"/>
    <w:rsid w:val="006F5F52"/>
    <w:rsid w:val="006F6413"/>
    <w:rsid w:val="0070124B"/>
    <w:rsid w:val="00704327"/>
    <w:rsid w:val="007060B5"/>
    <w:rsid w:val="00710775"/>
    <w:rsid w:val="00712658"/>
    <w:rsid w:val="00730B71"/>
    <w:rsid w:val="0073117A"/>
    <w:rsid w:val="00735C36"/>
    <w:rsid w:val="007363D1"/>
    <w:rsid w:val="00752488"/>
    <w:rsid w:val="00771930"/>
    <w:rsid w:val="00775050"/>
    <w:rsid w:val="00777C82"/>
    <w:rsid w:val="007905C3"/>
    <w:rsid w:val="007A0CE6"/>
    <w:rsid w:val="007B6434"/>
    <w:rsid w:val="007C2E29"/>
    <w:rsid w:val="007C3195"/>
    <w:rsid w:val="007C40CF"/>
    <w:rsid w:val="007C56CE"/>
    <w:rsid w:val="007D00A7"/>
    <w:rsid w:val="007D6665"/>
    <w:rsid w:val="007D6A8B"/>
    <w:rsid w:val="007E185F"/>
    <w:rsid w:val="007E237F"/>
    <w:rsid w:val="007E38A5"/>
    <w:rsid w:val="008078D2"/>
    <w:rsid w:val="00807D68"/>
    <w:rsid w:val="0081213E"/>
    <w:rsid w:val="00832B85"/>
    <w:rsid w:val="0084477F"/>
    <w:rsid w:val="00853F56"/>
    <w:rsid w:val="008632A4"/>
    <w:rsid w:val="00872E63"/>
    <w:rsid w:val="00885497"/>
    <w:rsid w:val="00890135"/>
    <w:rsid w:val="0089254F"/>
    <w:rsid w:val="00897EAA"/>
    <w:rsid w:val="008A5014"/>
    <w:rsid w:val="008A603A"/>
    <w:rsid w:val="008B317F"/>
    <w:rsid w:val="008C4753"/>
    <w:rsid w:val="008C608B"/>
    <w:rsid w:val="008D08FA"/>
    <w:rsid w:val="008E3DA9"/>
    <w:rsid w:val="008F22C0"/>
    <w:rsid w:val="008F736D"/>
    <w:rsid w:val="008F7797"/>
    <w:rsid w:val="009006CB"/>
    <w:rsid w:val="0090197A"/>
    <w:rsid w:val="00904CB2"/>
    <w:rsid w:val="0090767D"/>
    <w:rsid w:val="009145E5"/>
    <w:rsid w:val="00917CF5"/>
    <w:rsid w:val="0092177A"/>
    <w:rsid w:val="0092339C"/>
    <w:rsid w:val="009266E9"/>
    <w:rsid w:val="0093130A"/>
    <w:rsid w:val="00955DA0"/>
    <w:rsid w:val="009650B6"/>
    <w:rsid w:val="00965A9B"/>
    <w:rsid w:val="0097055F"/>
    <w:rsid w:val="00970F06"/>
    <w:rsid w:val="00971704"/>
    <w:rsid w:val="00972523"/>
    <w:rsid w:val="00991CB4"/>
    <w:rsid w:val="00991E3D"/>
    <w:rsid w:val="00993300"/>
    <w:rsid w:val="00994232"/>
    <w:rsid w:val="009B216D"/>
    <w:rsid w:val="009C191D"/>
    <w:rsid w:val="009C513E"/>
    <w:rsid w:val="009C71B9"/>
    <w:rsid w:val="009D2E91"/>
    <w:rsid w:val="009D64FA"/>
    <w:rsid w:val="009E32D6"/>
    <w:rsid w:val="009F2D9C"/>
    <w:rsid w:val="00A0097C"/>
    <w:rsid w:val="00A04DA8"/>
    <w:rsid w:val="00A05287"/>
    <w:rsid w:val="00A05D3A"/>
    <w:rsid w:val="00A161BD"/>
    <w:rsid w:val="00A33274"/>
    <w:rsid w:val="00A3386C"/>
    <w:rsid w:val="00A57931"/>
    <w:rsid w:val="00A66848"/>
    <w:rsid w:val="00A702B6"/>
    <w:rsid w:val="00A81783"/>
    <w:rsid w:val="00A87920"/>
    <w:rsid w:val="00A92C73"/>
    <w:rsid w:val="00A95A44"/>
    <w:rsid w:val="00A96A7D"/>
    <w:rsid w:val="00AD2EE9"/>
    <w:rsid w:val="00AD5BED"/>
    <w:rsid w:val="00AD6ACE"/>
    <w:rsid w:val="00AE0567"/>
    <w:rsid w:val="00AE6A38"/>
    <w:rsid w:val="00AF2CFE"/>
    <w:rsid w:val="00B058DB"/>
    <w:rsid w:val="00B14EB4"/>
    <w:rsid w:val="00B205BA"/>
    <w:rsid w:val="00B20F24"/>
    <w:rsid w:val="00B23D52"/>
    <w:rsid w:val="00B31C4F"/>
    <w:rsid w:val="00B35E15"/>
    <w:rsid w:val="00B40171"/>
    <w:rsid w:val="00B44F4B"/>
    <w:rsid w:val="00B46C7B"/>
    <w:rsid w:val="00B665B9"/>
    <w:rsid w:val="00B66F4C"/>
    <w:rsid w:val="00B8243E"/>
    <w:rsid w:val="00B97A9C"/>
    <w:rsid w:val="00B97EAC"/>
    <w:rsid w:val="00BB65E2"/>
    <w:rsid w:val="00BC1809"/>
    <w:rsid w:val="00BD02A1"/>
    <w:rsid w:val="00BD0EBB"/>
    <w:rsid w:val="00BE29F2"/>
    <w:rsid w:val="00BE5F61"/>
    <w:rsid w:val="00BE7BD6"/>
    <w:rsid w:val="00BF45C5"/>
    <w:rsid w:val="00BF5CA1"/>
    <w:rsid w:val="00C03B41"/>
    <w:rsid w:val="00C05AC6"/>
    <w:rsid w:val="00C105EB"/>
    <w:rsid w:val="00C16E11"/>
    <w:rsid w:val="00C241B4"/>
    <w:rsid w:val="00C41758"/>
    <w:rsid w:val="00C42D55"/>
    <w:rsid w:val="00C43D14"/>
    <w:rsid w:val="00C4704F"/>
    <w:rsid w:val="00C65263"/>
    <w:rsid w:val="00C65B4A"/>
    <w:rsid w:val="00C66472"/>
    <w:rsid w:val="00C74C3A"/>
    <w:rsid w:val="00C8125A"/>
    <w:rsid w:val="00C83997"/>
    <w:rsid w:val="00C937E8"/>
    <w:rsid w:val="00C97D46"/>
    <w:rsid w:val="00CA4F0B"/>
    <w:rsid w:val="00CB041B"/>
    <w:rsid w:val="00CB5D1C"/>
    <w:rsid w:val="00CB75D9"/>
    <w:rsid w:val="00CD11D7"/>
    <w:rsid w:val="00CD2863"/>
    <w:rsid w:val="00CE40CA"/>
    <w:rsid w:val="00CF6F01"/>
    <w:rsid w:val="00D00046"/>
    <w:rsid w:val="00D00C55"/>
    <w:rsid w:val="00D100A7"/>
    <w:rsid w:val="00D1029A"/>
    <w:rsid w:val="00D2107A"/>
    <w:rsid w:val="00D230ED"/>
    <w:rsid w:val="00D30261"/>
    <w:rsid w:val="00D31A25"/>
    <w:rsid w:val="00D329DD"/>
    <w:rsid w:val="00D33380"/>
    <w:rsid w:val="00D353B4"/>
    <w:rsid w:val="00D40E2F"/>
    <w:rsid w:val="00D44FAA"/>
    <w:rsid w:val="00D4524C"/>
    <w:rsid w:val="00D6251E"/>
    <w:rsid w:val="00D646CB"/>
    <w:rsid w:val="00D66CD2"/>
    <w:rsid w:val="00D763A0"/>
    <w:rsid w:val="00D82F55"/>
    <w:rsid w:val="00D8316C"/>
    <w:rsid w:val="00D966A5"/>
    <w:rsid w:val="00DB284A"/>
    <w:rsid w:val="00DB4678"/>
    <w:rsid w:val="00DB570B"/>
    <w:rsid w:val="00DC0655"/>
    <w:rsid w:val="00DC5B7E"/>
    <w:rsid w:val="00DD2479"/>
    <w:rsid w:val="00DE2595"/>
    <w:rsid w:val="00DF2B46"/>
    <w:rsid w:val="00DF5BBC"/>
    <w:rsid w:val="00E00F5C"/>
    <w:rsid w:val="00E01D17"/>
    <w:rsid w:val="00E0226D"/>
    <w:rsid w:val="00E17BF0"/>
    <w:rsid w:val="00E27FB5"/>
    <w:rsid w:val="00E44096"/>
    <w:rsid w:val="00E53779"/>
    <w:rsid w:val="00E561BC"/>
    <w:rsid w:val="00E65653"/>
    <w:rsid w:val="00E658DF"/>
    <w:rsid w:val="00E7412B"/>
    <w:rsid w:val="00E8436F"/>
    <w:rsid w:val="00E90D9C"/>
    <w:rsid w:val="00E97431"/>
    <w:rsid w:val="00EA1D75"/>
    <w:rsid w:val="00EA39B4"/>
    <w:rsid w:val="00EA5E71"/>
    <w:rsid w:val="00EA5F01"/>
    <w:rsid w:val="00EB66BD"/>
    <w:rsid w:val="00ED4CDF"/>
    <w:rsid w:val="00EE3238"/>
    <w:rsid w:val="00EE5FC0"/>
    <w:rsid w:val="00EF3E1F"/>
    <w:rsid w:val="00EF3FE4"/>
    <w:rsid w:val="00F13BE1"/>
    <w:rsid w:val="00F168AF"/>
    <w:rsid w:val="00F34A6A"/>
    <w:rsid w:val="00F4039A"/>
    <w:rsid w:val="00F41F2F"/>
    <w:rsid w:val="00F4382E"/>
    <w:rsid w:val="00F4644A"/>
    <w:rsid w:val="00F46A28"/>
    <w:rsid w:val="00F53C17"/>
    <w:rsid w:val="00F55D33"/>
    <w:rsid w:val="00F601DE"/>
    <w:rsid w:val="00F70689"/>
    <w:rsid w:val="00F70880"/>
    <w:rsid w:val="00F865A7"/>
    <w:rsid w:val="00FA3AAA"/>
    <w:rsid w:val="00FB021F"/>
    <w:rsid w:val="00FB39B8"/>
    <w:rsid w:val="00FD0861"/>
    <w:rsid w:val="00FE0DA1"/>
    <w:rsid w:val="00FF43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0E28FA"/>
    <w:pPr>
      <w:spacing w:after="0" w:line="240" w:lineRule="auto"/>
    </w:pPr>
  </w:style>
  <w:style w:type="character" w:styleId="Odkaznakoment">
    <w:name w:val="annotation reference"/>
    <w:basedOn w:val="Standardnpsmoodstavce"/>
    <w:uiPriority w:val="99"/>
    <w:semiHidden/>
    <w:unhideWhenUsed/>
    <w:rsid w:val="00777C82"/>
    <w:rPr>
      <w:sz w:val="16"/>
      <w:szCs w:val="16"/>
    </w:rPr>
  </w:style>
  <w:style w:type="paragraph" w:styleId="Textkomente">
    <w:name w:val="annotation text"/>
    <w:basedOn w:val="Normln"/>
    <w:link w:val="TextkomenteChar"/>
    <w:uiPriority w:val="99"/>
    <w:unhideWhenUsed/>
    <w:rsid w:val="00777C82"/>
    <w:pPr>
      <w:spacing w:line="240" w:lineRule="auto"/>
    </w:pPr>
    <w:rPr>
      <w:sz w:val="20"/>
      <w:szCs w:val="20"/>
    </w:rPr>
  </w:style>
  <w:style w:type="character" w:customStyle="1" w:styleId="TextkomenteChar">
    <w:name w:val="Text komentáře Char"/>
    <w:basedOn w:val="Standardnpsmoodstavce"/>
    <w:link w:val="Textkomente"/>
    <w:uiPriority w:val="99"/>
    <w:rsid w:val="00777C82"/>
    <w:rPr>
      <w:sz w:val="20"/>
      <w:szCs w:val="20"/>
    </w:rPr>
  </w:style>
  <w:style w:type="paragraph" w:styleId="Pedmtkomente">
    <w:name w:val="annotation subject"/>
    <w:basedOn w:val="Textkomente"/>
    <w:next w:val="Textkomente"/>
    <w:link w:val="PedmtkomenteChar"/>
    <w:uiPriority w:val="99"/>
    <w:semiHidden/>
    <w:unhideWhenUsed/>
    <w:rsid w:val="00777C82"/>
    <w:rPr>
      <w:b/>
      <w:bCs/>
    </w:rPr>
  </w:style>
  <w:style w:type="character" w:customStyle="1" w:styleId="PedmtkomenteChar">
    <w:name w:val="Předmět komentáře Char"/>
    <w:basedOn w:val="TextkomenteChar"/>
    <w:link w:val="Pedmtkomente"/>
    <w:uiPriority w:val="99"/>
    <w:semiHidden/>
    <w:rsid w:val="00777C82"/>
    <w:rPr>
      <w:b/>
      <w:bCs/>
      <w:sz w:val="20"/>
      <w:szCs w:val="20"/>
    </w:rPr>
  </w:style>
  <w:style w:type="paragraph" w:styleId="Normlnweb">
    <w:name w:val="Normal (Web)"/>
    <w:basedOn w:val="Normln"/>
    <w:uiPriority w:val="99"/>
    <w:unhideWhenUsed/>
    <w:rsid w:val="00832B85"/>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26743">
      <w:bodyDiv w:val="1"/>
      <w:marLeft w:val="0"/>
      <w:marRight w:val="0"/>
      <w:marTop w:val="0"/>
      <w:marBottom w:val="0"/>
      <w:divBdr>
        <w:top w:val="none" w:sz="0" w:space="0" w:color="auto"/>
        <w:left w:val="none" w:sz="0" w:space="0" w:color="auto"/>
        <w:bottom w:val="none" w:sz="0" w:space="0" w:color="auto"/>
        <w:right w:val="none" w:sz="0" w:space="0" w:color="auto"/>
      </w:divBdr>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420298694">
      <w:bodyDiv w:val="1"/>
      <w:marLeft w:val="0"/>
      <w:marRight w:val="0"/>
      <w:marTop w:val="0"/>
      <w:marBottom w:val="0"/>
      <w:divBdr>
        <w:top w:val="none" w:sz="0" w:space="0" w:color="auto"/>
        <w:left w:val="none" w:sz="0" w:space="0" w:color="auto"/>
        <w:bottom w:val="none" w:sz="0" w:space="0" w:color="auto"/>
        <w:right w:val="none" w:sz="0" w:space="0" w:color="auto"/>
      </w:divBdr>
      <w:divsChild>
        <w:div w:id="833447098">
          <w:marLeft w:val="0"/>
          <w:marRight w:val="0"/>
          <w:marTop w:val="0"/>
          <w:marBottom w:val="0"/>
          <w:divBdr>
            <w:top w:val="none" w:sz="0" w:space="0" w:color="auto"/>
            <w:left w:val="none" w:sz="0" w:space="0" w:color="auto"/>
            <w:bottom w:val="none" w:sz="0" w:space="0" w:color="auto"/>
            <w:right w:val="none" w:sz="0" w:space="0" w:color="auto"/>
          </w:divBdr>
        </w:div>
      </w:divsChild>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 w:id="2030905390">
      <w:bodyDiv w:val="1"/>
      <w:marLeft w:val="0"/>
      <w:marRight w:val="0"/>
      <w:marTop w:val="0"/>
      <w:marBottom w:val="0"/>
      <w:divBdr>
        <w:top w:val="none" w:sz="0" w:space="0" w:color="auto"/>
        <w:left w:val="none" w:sz="0" w:space="0" w:color="auto"/>
        <w:bottom w:val="none" w:sz="0" w:space="0" w:color="auto"/>
        <w:right w:val="none" w:sz="0" w:space="0" w:color="auto"/>
      </w:divBdr>
    </w:div>
    <w:div w:id="2059083345">
      <w:bodyDiv w:val="1"/>
      <w:marLeft w:val="0"/>
      <w:marRight w:val="0"/>
      <w:marTop w:val="0"/>
      <w:marBottom w:val="0"/>
      <w:divBdr>
        <w:top w:val="none" w:sz="0" w:space="0" w:color="auto"/>
        <w:left w:val="none" w:sz="0" w:space="0" w:color="auto"/>
        <w:bottom w:val="none" w:sz="0" w:space="0" w:color="auto"/>
        <w:right w:val="none" w:sz="0" w:space="0" w:color="auto"/>
      </w:divBdr>
      <w:divsChild>
        <w:div w:id="720180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946</Words>
  <Characters>5585</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33</cp:revision>
  <cp:lastPrinted>2025-05-26T10:14:00Z</cp:lastPrinted>
  <dcterms:created xsi:type="dcterms:W3CDTF">2026-09-24T08:09:00Z</dcterms:created>
  <dcterms:modified xsi:type="dcterms:W3CDTF">2026-10-11T21:53:00Z</dcterms:modified>
</cp:coreProperties>
</file>